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十二</w:t>
                            </w:r>
                            <w:r>
                              <w:rPr>
                                <w:rFonts w:hint="eastAsia"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十二</w:t>
                      </w:r>
                      <w:r>
                        <w:rPr>
                          <w:rFonts w:hint="eastAsia" w:ascii="楷体_GB2312" w:hAnsi="楷体_GB2312" w:eastAsia="楷体_GB2312" w:cs="楷体_GB2312"/>
                          <w:color w:val="000000" w:themeColor="text1"/>
                          <w:kern w:val="0"/>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3673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mc:AlternateContent>
          <mc:Choice Requires="wpg">
            <w:drawing>
              <wp:anchor distT="0" distB="0" distL="114300" distR="114300" simplePos="0" relativeHeight="251665408" behindDoc="0" locked="0" layoutInCell="1" allowOverlap="1">
                <wp:simplePos x="0" y="0"/>
                <wp:positionH relativeFrom="column">
                  <wp:posOffset>-956310</wp:posOffset>
                </wp:positionH>
                <wp:positionV relativeFrom="paragraph">
                  <wp:posOffset>8349615</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75.3pt;margin-top:657.45pt;height:21.45pt;width:595.25pt;z-index:251665408;mso-width-relative:page;mso-height-relative:page;" coordorigin="1483,16692" coordsize="11905,429" o:gfxdata="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Xii2kt0AAAAPAQAADwAAAAAAAAABACAAAAAi&#10;AAAAZHJzL2Rvd25yZXYueG1sUEsBAhQAFAAAAAgAh07iQGGYKE93AgAAlgYAAA4AAAAAAAAAAQAg&#10;AAAALAEAAGRycy9lMm9Eb2MueG1sUEsFBgAAAAAGAAYAWQEAABU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文安县文化广电和旅游局</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十二</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宋体" w:hAnsi="宋体" w:eastAsia="宋体" w:cs="宋体"/>
          <w:sz w:val="32"/>
          <w:szCs w:val="32"/>
        </w:rPr>
      </w:pPr>
      <w:r>
        <w:rPr>
          <w:rFonts w:hint="eastAsia" w:ascii="宋体" w:hAnsi="宋体" w:eastAsia="宋体" w:cs="宋体"/>
          <w:sz w:val="32"/>
          <w:szCs w:val="32"/>
        </w:rPr>
        <w:t>（一）贯彻执行党和国家文化广电、旅游和文物工作方针政策和法律法规。研究拟订全县文化广电、旅游和文物工作政策措施，起草全县文化广电、旅游和文物地方性有关规定和办法。</w:t>
      </w:r>
    </w:p>
    <w:p>
      <w:pPr>
        <w:ind w:firstLine="640" w:firstLineChars="200"/>
        <w:rPr>
          <w:rFonts w:ascii="宋体" w:hAnsi="宋体" w:eastAsia="宋体" w:cs="宋体"/>
          <w:sz w:val="32"/>
          <w:szCs w:val="32"/>
        </w:rPr>
      </w:pPr>
      <w:r>
        <w:rPr>
          <w:rFonts w:hint="eastAsia" w:ascii="宋体" w:hAnsi="宋体" w:eastAsia="宋体" w:cs="宋体"/>
          <w:sz w:val="32"/>
          <w:szCs w:val="32"/>
        </w:rPr>
        <w:t>（二）拟订全县文化事业、旅游产业、广播电视、文物领域发展规划并组织实施，加快文化和旅游融合发展，推进文化广电和旅游体制机制改革。</w:t>
      </w:r>
    </w:p>
    <w:p>
      <w:pPr>
        <w:ind w:firstLine="640" w:firstLineChars="200"/>
        <w:rPr>
          <w:rFonts w:ascii="宋体" w:hAnsi="宋体" w:eastAsia="宋体" w:cs="宋体"/>
          <w:sz w:val="32"/>
          <w:szCs w:val="32"/>
        </w:rPr>
      </w:pPr>
      <w:r>
        <w:rPr>
          <w:rFonts w:hint="eastAsia" w:ascii="宋体" w:hAnsi="宋体" w:eastAsia="宋体" w:cs="宋体"/>
          <w:sz w:val="32"/>
          <w:szCs w:val="32"/>
        </w:rPr>
        <w:t>（三）管理全县性重大文化活动。指导全县重点文化设施建设和基层文化设施建设，组织文安旅游整体形象推广，促进文化和旅游产业对外合作和市场推广，制定全县旅游市场开发营销战略并组织实施，指导推进全域旅游。</w:t>
      </w:r>
    </w:p>
    <w:p>
      <w:pPr>
        <w:ind w:firstLine="640" w:firstLineChars="200"/>
        <w:rPr>
          <w:rFonts w:ascii="宋体" w:hAnsi="宋体" w:eastAsia="宋体" w:cs="宋体"/>
          <w:b/>
          <w:bCs/>
          <w:sz w:val="32"/>
          <w:szCs w:val="32"/>
          <w:u w:val="single"/>
        </w:rPr>
      </w:pPr>
      <w:r>
        <w:rPr>
          <w:rFonts w:hint="eastAsia" w:ascii="宋体" w:hAnsi="宋体" w:eastAsia="宋体" w:cs="宋体"/>
          <w:sz w:val="32"/>
          <w:szCs w:val="32"/>
        </w:rPr>
        <w:t>（四）指导、管理全县文艺事业。指导艺术创作生产，扶持体现社会主义核心价值观、具有导向性代表性示范性的文艺作品，推动全县各门类艺术、各艺术品种发展。对文化艺术经营活动进行行业监管，对全县从事演艺活动的民办机构进行监管。</w:t>
      </w:r>
    </w:p>
    <w:p>
      <w:pPr>
        <w:ind w:firstLine="640" w:firstLineChars="200"/>
        <w:rPr>
          <w:rFonts w:ascii="宋体" w:hAnsi="宋体" w:eastAsia="宋体" w:cs="宋体"/>
          <w:sz w:val="32"/>
          <w:szCs w:val="32"/>
        </w:rPr>
      </w:pPr>
      <w:r>
        <w:rPr>
          <w:rFonts w:hint="eastAsia" w:ascii="宋体" w:hAnsi="宋体" w:eastAsia="宋体" w:cs="宋体"/>
          <w:sz w:val="32"/>
          <w:szCs w:val="32"/>
        </w:rPr>
        <w:t>（五）负责全县公共文化事业发展。指导图书馆、文化馆（站）博物馆发展建设。推进全县文化、旅游和广播电视公共服务体系建设</w:t>
      </w:r>
      <w:r>
        <w:rPr>
          <w:rFonts w:hint="eastAsia" w:ascii="宋体" w:hAnsi="宋体" w:eastAsia="宋体" w:cs="宋体"/>
          <w:b/>
          <w:bCs/>
          <w:sz w:val="32"/>
          <w:szCs w:val="32"/>
        </w:rPr>
        <w:t>；</w:t>
      </w:r>
      <w:r>
        <w:rPr>
          <w:rFonts w:hint="eastAsia" w:ascii="宋体" w:hAnsi="宋体" w:eastAsia="宋体" w:cs="宋体"/>
          <w:sz w:val="32"/>
          <w:szCs w:val="32"/>
        </w:rPr>
        <w:t>深入实施文化惠民工程，统筹推进全县基本公共文化服务标准化、均等化。</w:t>
      </w:r>
    </w:p>
    <w:p>
      <w:pPr>
        <w:ind w:firstLine="640" w:firstLineChars="200"/>
        <w:rPr>
          <w:rFonts w:ascii="宋体" w:hAnsi="宋体" w:eastAsia="宋体" w:cs="宋体"/>
          <w:sz w:val="32"/>
          <w:szCs w:val="32"/>
        </w:rPr>
      </w:pPr>
      <w:r>
        <w:rPr>
          <w:rFonts w:hint="eastAsia" w:ascii="宋体" w:hAnsi="宋体" w:eastAsia="宋体" w:cs="宋体"/>
          <w:sz w:val="32"/>
          <w:szCs w:val="32"/>
        </w:rPr>
        <w:t>（六）指导推进全县文化、旅游行业信息化、标准化建设，推进广播电视科技创新发展。</w:t>
      </w:r>
    </w:p>
    <w:p>
      <w:pPr>
        <w:ind w:firstLine="640" w:firstLineChars="200"/>
        <w:rPr>
          <w:rFonts w:ascii="宋体" w:hAnsi="宋体" w:eastAsia="宋体" w:cs="宋体"/>
          <w:sz w:val="32"/>
          <w:szCs w:val="32"/>
        </w:rPr>
      </w:pPr>
      <w:r>
        <w:rPr>
          <w:rFonts w:hint="eastAsia" w:ascii="宋体" w:hAnsi="宋体" w:eastAsia="宋体" w:cs="宋体"/>
          <w:sz w:val="32"/>
          <w:szCs w:val="32"/>
        </w:rPr>
        <w:t>（七）负责全县非物质文化遗产保护，推动非物质文化遗产的保护、传承、普及、弘扬和振兴。</w:t>
      </w:r>
    </w:p>
    <w:p>
      <w:pPr>
        <w:ind w:firstLine="640" w:firstLineChars="200"/>
        <w:rPr>
          <w:rFonts w:ascii="宋体" w:hAnsi="宋体" w:eastAsia="宋体" w:cs="宋体"/>
          <w:sz w:val="32"/>
          <w:szCs w:val="32"/>
        </w:rPr>
      </w:pPr>
      <w:r>
        <w:rPr>
          <w:rFonts w:hint="eastAsia" w:ascii="宋体" w:hAnsi="宋体" w:eastAsia="宋体" w:cs="宋体"/>
          <w:sz w:val="32"/>
          <w:szCs w:val="32"/>
        </w:rPr>
        <w:t>（八）统筹规划全县文化产业和旅游产业。组织实施文化和旅游资源普查、挖掘、保护和利用工作，促进文化产业和旅游产业发展。</w:t>
      </w:r>
    </w:p>
    <w:p>
      <w:pPr>
        <w:ind w:firstLine="640" w:firstLineChars="200"/>
        <w:rPr>
          <w:rFonts w:ascii="宋体" w:hAnsi="宋体" w:eastAsia="宋体" w:cs="宋体"/>
          <w:sz w:val="32"/>
          <w:szCs w:val="32"/>
        </w:rPr>
      </w:pPr>
      <w:r>
        <w:rPr>
          <w:rFonts w:hint="eastAsia" w:ascii="宋体" w:hAnsi="宋体" w:eastAsia="宋体" w:cs="宋体"/>
          <w:sz w:val="32"/>
          <w:szCs w:val="32"/>
        </w:rPr>
        <w:t>（九）指导全县文化和旅游市场发展。对文化、旅游和广播电视市场经营进行行业监管，推进全县文化、旅游和广播电视行业信用体系建设，依法规范文化、旅游和广播电视市场。</w:t>
      </w:r>
    </w:p>
    <w:p>
      <w:pPr>
        <w:ind w:firstLine="643" w:firstLineChars="200"/>
        <w:rPr>
          <w:rFonts w:ascii="宋体" w:hAnsi="宋体" w:eastAsia="宋体" w:cs="宋体"/>
          <w:b/>
          <w:bCs/>
          <w:sz w:val="32"/>
          <w:szCs w:val="32"/>
        </w:rPr>
      </w:pPr>
      <w:r>
        <w:rPr>
          <w:rFonts w:hint="eastAsia" w:ascii="宋体" w:hAnsi="宋体" w:eastAsia="宋体" w:cs="宋体"/>
          <w:b/>
          <w:bCs/>
          <w:sz w:val="32"/>
          <w:szCs w:val="32"/>
        </w:rPr>
        <w:t>（十）</w:t>
      </w:r>
      <w:r>
        <w:rPr>
          <w:rFonts w:hint="eastAsia" w:ascii="宋体" w:hAnsi="宋体" w:eastAsia="宋体" w:cs="宋体"/>
          <w:sz w:val="32"/>
          <w:szCs w:val="32"/>
        </w:rPr>
        <w:t>指导协调广播电视全县性重大宣传活动。负责对全县各类广播电视机构进行业务指导和行业监管，监管全县广播电视节目、网络视听节目和公共视听载体播放的视听节目，会同有关部门对全县网络视听节目服务机构进行管理，指导、监管全县广播电视广告播放。</w:t>
      </w:r>
    </w:p>
    <w:p>
      <w:pPr>
        <w:ind w:firstLine="640" w:firstLineChars="200"/>
        <w:rPr>
          <w:rFonts w:ascii="宋体" w:hAnsi="宋体" w:eastAsia="宋体" w:cs="宋体"/>
          <w:color w:val="000000"/>
          <w:sz w:val="32"/>
          <w:szCs w:val="32"/>
        </w:rPr>
      </w:pPr>
      <w:r>
        <w:rPr>
          <w:rFonts w:hint="eastAsia" w:ascii="宋体" w:hAnsi="宋体" w:eastAsia="宋体" w:cs="宋体"/>
          <w:color w:val="000000"/>
          <w:sz w:val="32"/>
          <w:szCs w:val="32"/>
        </w:rPr>
        <w:t>（十一）指导和监管全县广播电视重点基础设施建设。指导、推进全县广播电视领域体制机制改革。组织实施全县广播电视公共服务重大公益工程和公益活动，负责推进广播电视与新媒体新技术新业态融合发展，推进广电网与电信网、互联网三网融合，促进智慧广电发展。</w:t>
      </w:r>
    </w:p>
    <w:p>
      <w:pPr>
        <w:ind w:firstLine="640" w:firstLineChars="200"/>
        <w:rPr>
          <w:rFonts w:ascii="宋体" w:hAnsi="宋体" w:eastAsia="宋体" w:cs="宋体"/>
          <w:color w:val="FF0000"/>
          <w:sz w:val="32"/>
          <w:szCs w:val="32"/>
        </w:rPr>
      </w:pPr>
      <w:r>
        <w:rPr>
          <w:rFonts w:hint="eastAsia" w:ascii="宋体" w:hAnsi="宋体" w:eastAsia="宋体" w:cs="宋体"/>
          <w:sz w:val="32"/>
          <w:szCs w:val="32"/>
        </w:rPr>
        <w:t>（十二）负责对全县广播电视节目传输覆盖、监听、监看、监测的监管，推进全县应急广播体系建设，监管协调调度全县广播电视安全播出。负责全县广播电视统计工作。</w:t>
      </w:r>
    </w:p>
    <w:p>
      <w:pPr>
        <w:ind w:firstLine="640" w:firstLineChars="200"/>
        <w:rPr>
          <w:rFonts w:ascii="宋体" w:hAnsi="宋体" w:eastAsia="宋体" w:cs="宋体"/>
          <w:sz w:val="32"/>
          <w:szCs w:val="32"/>
        </w:rPr>
      </w:pPr>
      <w:r>
        <w:rPr>
          <w:rFonts w:hint="eastAsia" w:ascii="宋体" w:hAnsi="宋体" w:eastAsia="宋体" w:cs="宋体"/>
          <w:sz w:val="32"/>
          <w:szCs w:val="32"/>
        </w:rPr>
        <w:t>（十三）指导全县文化市场综合执法。组织查处全县性、跨区域文化、文物、广播电视、旅游等市场的违法行为，督查督办大案要案，维护市场秩序。</w:t>
      </w:r>
    </w:p>
    <w:p>
      <w:pPr>
        <w:ind w:firstLine="640" w:firstLineChars="200"/>
        <w:rPr>
          <w:rFonts w:ascii="宋体" w:hAnsi="宋体" w:eastAsia="宋体" w:cs="宋体"/>
          <w:sz w:val="32"/>
          <w:szCs w:val="32"/>
        </w:rPr>
      </w:pPr>
      <w:r>
        <w:rPr>
          <w:rFonts w:hint="eastAsia" w:ascii="宋体" w:hAnsi="宋体" w:eastAsia="宋体" w:cs="宋体"/>
          <w:sz w:val="32"/>
          <w:szCs w:val="32"/>
        </w:rPr>
        <w:t>（十四）指导、管理全县文化、旅游、广播电视、文物领域对外交流、合作和宣传、推广工作。代表县政府签订对外文化和旅游合作协定，组织大型文化和旅游对外及对港澳台交流活动，推动中华文化和文安特色文化走出去。</w:t>
      </w:r>
    </w:p>
    <w:p>
      <w:pPr>
        <w:ind w:firstLine="640" w:firstLineChars="200"/>
        <w:rPr>
          <w:rFonts w:ascii="宋体" w:hAnsi="宋体" w:eastAsia="宋体" w:cs="宋体"/>
          <w:sz w:val="32"/>
          <w:szCs w:val="32"/>
        </w:rPr>
      </w:pPr>
      <w:r>
        <w:rPr>
          <w:rFonts w:hint="eastAsia" w:ascii="宋体" w:hAnsi="宋体" w:eastAsia="宋体" w:cs="宋体"/>
          <w:sz w:val="32"/>
          <w:szCs w:val="32"/>
        </w:rPr>
        <w:t>（十五）负责全县文物资源的调查、勘探、发掘工作；组织、协调全县文物保护和考古项目的实施工作；组织指导文物保护宣传工作；拟定文物保护制度和办法并负责督促检查；协调和指导文物保护工作，履行文物行政执法职责。</w:t>
      </w:r>
    </w:p>
    <w:p>
      <w:pPr>
        <w:ind w:firstLine="640" w:firstLineChars="200"/>
        <w:rPr>
          <w:rFonts w:ascii="宋体" w:hAnsi="宋体" w:eastAsia="宋体" w:cs="宋体"/>
          <w:sz w:val="32"/>
          <w:szCs w:val="32"/>
        </w:rPr>
      </w:pPr>
      <w:r>
        <w:rPr>
          <w:rFonts w:hint="eastAsia" w:ascii="宋体" w:hAnsi="宋体" w:eastAsia="宋体" w:cs="宋体"/>
          <w:sz w:val="32"/>
          <w:szCs w:val="32"/>
        </w:rPr>
        <w:t>（十六）完成县委、县政府交办的其他任务。</w:t>
      </w:r>
    </w:p>
    <w:p>
      <w:pPr>
        <w:ind w:firstLine="640" w:firstLineChars="200"/>
        <w:rPr>
          <w:rFonts w:ascii="宋体" w:hAnsi="宋体" w:eastAsia="宋体" w:cs="宋体"/>
          <w:sz w:val="32"/>
          <w:szCs w:val="32"/>
        </w:rPr>
      </w:pPr>
      <w:r>
        <w:rPr>
          <w:rFonts w:ascii="宋体" w:hAnsi="宋体" w:eastAsia="宋体" w:cs="宋体"/>
          <w:sz w:val="32"/>
          <w:szCs w:val="32"/>
        </w:rPr>
        <w:t>文安县文化市场综合行政执法局</w:t>
      </w:r>
    </w:p>
    <w:p>
      <w:pPr>
        <w:ind w:firstLine="640" w:firstLineChars="200"/>
        <w:rPr>
          <w:rFonts w:ascii="宋体" w:hAnsi="宋体" w:eastAsia="宋体" w:cs="宋体"/>
          <w:sz w:val="32"/>
          <w:szCs w:val="32"/>
        </w:rPr>
      </w:pPr>
      <w:r>
        <w:rPr>
          <w:rFonts w:hint="eastAsia" w:ascii="宋体" w:hAnsi="宋体" w:eastAsia="宋体" w:cs="宋体"/>
          <w:sz w:val="32"/>
          <w:szCs w:val="32"/>
        </w:rPr>
        <w:t>（一）</w:t>
      </w:r>
      <w:r>
        <w:rPr>
          <w:rFonts w:ascii="宋体" w:hAnsi="宋体" w:eastAsia="宋体" w:cs="宋体"/>
          <w:sz w:val="32"/>
          <w:szCs w:val="32"/>
        </w:rPr>
        <w:t>贯彻落实国家、省、市有关文化、广电、旅游市场执法工作的方针政策。</w:t>
      </w:r>
    </w:p>
    <w:p>
      <w:pPr>
        <w:ind w:firstLine="640" w:firstLineChars="200"/>
        <w:rPr>
          <w:rFonts w:ascii="宋体" w:hAnsi="宋体" w:eastAsia="宋体" w:cs="宋体"/>
          <w:sz w:val="32"/>
          <w:szCs w:val="32"/>
        </w:rPr>
      </w:pPr>
      <w:r>
        <w:rPr>
          <w:rFonts w:hint="eastAsia" w:ascii="宋体" w:hAnsi="宋体" w:eastAsia="宋体" w:cs="宋体"/>
          <w:sz w:val="32"/>
          <w:szCs w:val="32"/>
        </w:rPr>
        <w:t>（二）</w:t>
      </w:r>
      <w:r>
        <w:rPr>
          <w:rFonts w:ascii="宋体" w:hAnsi="宋体" w:eastAsia="宋体" w:cs="宋体"/>
          <w:sz w:val="32"/>
          <w:szCs w:val="32"/>
        </w:rPr>
        <w:t>拟订全县文化、广电、旅游市场执法工作的规范性文件、总体规划和年度计划并组织实施。</w:t>
      </w:r>
    </w:p>
    <w:p>
      <w:pPr>
        <w:ind w:firstLine="640" w:firstLineChars="200"/>
        <w:rPr>
          <w:rFonts w:ascii="宋体" w:hAnsi="宋体" w:eastAsia="宋体" w:cs="宋体"/>
          <w:sz w:val="32"/>
          <w:szCs w:val="32"/>
        </w:rPr>
      </w:pPr>
      <w:r>
        <w:rPr>
          <w:rFonts w:hint="eastAsia" w:ascii="宋体" w:hAnsi="宋体" w:eastAsia="宋体" w:cs="宋体"/>
          <w:sz w:val="32"/>
          <w:szCs w:val="32"/>
        </w:rPr>
        <w:t>（三）</w:t>
      </w:r>
      <w:r>
        <w:rPr>
          <w:rFonts w:ascii="宋体" w:hAnsi="宋体" w:eastAsia="宋体" w:cs="宋体"/>
          <w:sz w:val="32"/>
          <w:szCs w:val="32"/>
        </w:rPr>
        <w:t>负责全县文化、文物、广播电影电视、新闻出版、旅游行政执法工作。</w:t>
      </w:r>
    </w:p>
    <w:p>
      <w:pPr>
        <w:ind w:firstLine="640" w:firstLineChars="200"/>
        <w:rPr>
          <w:rFonts w:ascii="宋体" w:hAnsi="宋体" w:eastAsia="宋体" w:cs="宋体"/>
          <w:sz w:val="32"/>
          <w:szCs w:val="32"/>
        </w:rPr>
      </w:pPr>
      <w:r>
        <w:rPr>
          <w:rFonts w:hint="eastAsia" w:ascii="宋体" w:hAnsi="宋体" w:eastAsia="宋体" w:cs="宋体"/>
          <w:sz w:val="32"/>
          <w:szCs w:val="32"/>
        </w:rPr>
        <w:t>（四）</w:t>
      </w:r>
      <w:r>
        <w:rPr>
          <w:rFonts w:ascii="宋体" w:hAnsi="宋体" w:eastAsia="宋体" w:cs="宋体"/>
          <w:sz w:val="32"/>
          <w:szCs w:val="32"/>
        </w:rPr>
        <w:t>查处演出和娱乐、网吧及互联网上网服务、电子游戏、美术品销售等活动中的违法行为。</w:t>
      </w:r>
    </w:p>
    <w:p>
      <w:pPr>
        <w:ind w:firstLine="640" w:firstLineChars="200"/>
        <w:rPr>
          <w:rFonts w:ascii="宋体" w:hAnsi="宋体" w:eastAsia="宋体" w:cs="宋体"/>
          <w:sz w:val="32"/>
          <w:szCs w:val="32"/>
        </w:rPr>
      </w:pPr>
      <w:r>
        <w:rPr>
          <w:rFonts w:hint="eastAsia" w:ascii="宋体" w:hAnsi="宋体" w:eastAsia="宋体" w:cs="宋体"/>
          <w:sz w:val="32"/>
          <w:szCs w:val="32"/>
        </w:rPr>
        <w:t>（五）</w:t>
      </w:r>
      <w:r>
        <w:rPr>
          <w:rFonts w:ascii="宋体" w:hAnsi="宋体" w:eastAsia="宋体" w:cs="宋体"/>
          <w:sz w:val="32"/>
          <w:szCs w:val="32"/>
        </w:rPr>
        <w:t>查处违法安装和设置卫星广播地面接收设施、违法接收和传送境外卫星电视节目和走私盗版影片放映行为。</w:t>
      </w:r>
    </w:p>
    <w:p>
      <w:pPr>
        <w:ind w:firstLine="640" w:firstLineChars="200"/>
        <w:rPr>
          <w:rFonts w:ascii="宋体" w:hAnsi="宋体" w:eastAsia="宋体" w:cs="宋体"/>
          <w:sz w:val="32"/>
          <w:szCs w:val="32"/>
        </w:rPr>
      </w:pPr>
      <w:r>
        <w:rPr>
          <w:rFonts w:hint="eastAsia" w:ascii="宋体" w:hAnsi="宋体" w:eastAsia="宋体" w:cs="宋体"/>
          <w:sz w:val="32"/>
          <w:szCs w:val="32"/>
        </w:rPr>
        <w:t>（六）</w:t>
      </w:r>
      <w:r>
        <w:rPr>
          <w:rFonts w:ascii="宋体" w:hAnsi="宋体" w:eastAsia="宋体" w:cs="宋体"/>
          <w:sz w:val="32"/>
          <w:szCs w:val="32"/>
        </w:rPr>
        <w:t>查处图书、报纸期刊、音像制品、电子出版、网络出版、计算机软件等方面的违法违规出版活动和印刷、复制、出版物发行中的违法经营活动。</w:t>
      </w:r>
    </w:p>
    <w:p>
      <w:pPr>
        <w:ind w:firstLine="640" w:firstLineChars="200"/>
        <w:rPr>
          <w:rFonts w:ascii="宋体" w:hAnsi="宋体" w:eastAsia="宋体" w:cs="宋体"/>
          <w:sz w:val="32"/>
          <w:szCs w:val="32"/>
        </w:rPr>
      </w:pPr>
      <w:r>
        <w:rPr>
          <w:rFonts w:hint="eastAsia" w:ascii="宋体" w:hAnsi="宋体" w:eastAsia="宋体" w:cs="宋体"/>
          <w:sz w:val="32"/>
          <w:szCs w:val="32"/>
        </w:rPr>
        <w:t>（七）</w:t>
      </w:r>
      <w:r>
        <w:rPr>
          <w:rFonts w:ascii="宋体" w:hAnsi="宋体" w:eastAsia="宋体" w:cs="宋体"/>
          <w:sz w:val="32"/>
          <w:szCs w:val="32"/>
        </w:rPr>
        <w:t>查处盗版侵权及旅游市场的违规违法行为。</w:t>
      </w:r>
    </w:p>
    <w:p>
      <w:pPr>
        <w:ind w:firstLine="640" w:firstLineChars="200"/>
        <w:rPr>
          <w:rFonts w:ascii="宋体" w:hAnsi="宋体" w:eastAsia="宋体" w:cs="宋体"/>
          <w:sz w:val="32"/>
          <w:szCs w:val="32"/>
        </w:rPr>
      </w:pPr>
      <w:r>
        <w:rPr>
          <w:rFonts w:hint="eastAsia" w:ascii="宋体" w:hAnsi="宋体" w:eastAsia="宋体" w:cs="宋体"/>
          <w:sz w:val="32"/>
          <w:szCs w:val="32"/>
        </w:rPr>
        <w:t>（八）</w:t>
      </w:r>
      <w:r>
        <w:rPr>
          <w:rFonts w:ascii="宋体" w:hAnsi="宋体" w:eastAsia="宋体" w:cs="宋体"/>
          <w:sz w:val="32"/>
          <w:szCs w:val="32"/>
        </w:rPr>
        <w:t>查处文物领域的违规违法行为。</w:t>
      </w:r>
    </w:p>
    <w:p>
      <w:pPr>
        <w:ind w:firstLine="640" w:firstLineChars="200"/>
        <w:rPr>
          <w:rFonts w:ascii="宋体" w:hAnsi="宋体" w:eastAsia="宋体" w:cs="宋体"/>
          <w:sz w:val="32"/>
          <w:szCs w:val="32"/>
        </w:rPr>
      </w:pPr>
      <w:r>
        <w:rPr>
          <w:rFonts w:hint="eastAsia" w:ascii="宋体" w:hAnsi="宋体" w:eastAsia="宋体" w:cs="宋体"/>
          <w:sz w:val="32"/>
          <w:szCs w:val="32"/>
        </w:rPr>
        <w:t>（九）</w:t>
      </w:r>
      <w:r>
        <w:rPr>
          <w:rFonts w:ascii="宋体" w:hAnsi="宋体" w:eastAsia="宋体" w:cs="宋体"/>
          <w:sz w:val="32"/>
          <w:szCs w:val="32"/>
        </w:rPr>
        <w:t>承担分管行业领域“扫黄打非”、“安全生产”相关工作的检查，依法查处违法违规行为。</w:t>
      </w:r>
    </w:p>
    <w:p>
      <w:pPr>
        <w:ind w:firstLine="640" w:firstLineChars="200"/>
        <w:rPr>
          <w:rFonts w:ascii="宋体" w:hAnsi="宋体" w:eastAsia="宋体" w:cs="宋体"/>
          <w:sz w:val="32"/>
          <w:szCs w:val="32"/>
        </w:rPr>
      </w:pPr>
      <w:r>
        <w:rPr>
          <w:rFonts w:hint="eastAsia" w:ascii="宋体" w:hAnsi="宋体" w:eastAsia="宋体" w:cs="宋体"/>
          <w:sz w:val="32"/>
          <w:szCs w:val="32"/>
        </w:rPr>
        <w:t>（十）</w:t>
      </w:r>
      <w:r>
        <w:rPr>
          <w:rFonts w:ascii="宋体" w:hAnsi="宋体" w:eastAsia="宋体" w:cs="宋体"/>
          <w:sz w:val="32"/>
          <w:szCs w:val="32"/>
        </w:rPr>
        <w:t>负责上级交办、群众举报及本县重大案件的查处工作，组织全县性文化、广电、文物、旅游市场专项治理检查行动。</w:t>
      </w:r>
    </w:p>
    <w:p>
      <w:pPr>
        <w:ind w:firstLine="640" w:firstLineChars="200"/>
        <w:rPr>
          <w:rFonts w:ascii="宋体" w:hAnsi="宋体" w:eastAsia="宋体" w:cs="宋体"/>
          <w:sz w:val="32"/>
          <w:szCs w:val="32"/>
        </w:rPr>
      </w:pPr>
      <w:r>
        <w:rPr>
          <w:rFonts w:hint="eastAsia" w:ascii="宋体" w:hAnsi="宋体" w:eastAsia="宋体" w:cs="宋体"/>
          <w:sz w:val="32"/>
          <w:szCs w:val="32"/>
        </w:rPr>
        <w:t>（十一）承办县委宣传部交办的电影市场、出版物市场的执法工作。</w:t>
      </w:r>
    </w:p>
    <w:p>
      <w:pPr>
        <w:ind w:firstLine="640" w:firstLineChars="200"/>
        <w:rPr>
          <w:rFonts w:ascii="宋体" w:hAnsi="宋体" w:eastAsia="宋体" w:cs="宋体"/>
          <w:sz w:val="32"/>
          <w:szCs w:val="32"/>
        </w:rPr>
      </w:pPr>
      <w:r>
        <w:rPr>
          <w:rFonts w:hint="eastAsia" w:ascii="宋体" w:hAnsi="宋体" w:eastAsia="宋体" w:cs="宋体"/>
          <w:sz w:val="32"/>
          <w:szCs w:val="32"/>
        </w:rPr>
        <w:t>（十二）</w:t>
      </w:r>
      <w:r>
        <w:rPr>
          <w:rFonts w:ascii="宋体" w:hAnsi="宋体" w:eastAsia="宋体" w:cs="宋体"/>
          <w:sz w:val="32"/>
          <w:szCs w:val="32"/>
        </w:rPr>
        <w:t>负责县委、县政府交办的</w:t>
      </w:r>
      <w:r>
        <w:rPr>
          <w:rFonts w:hint="eastAsia" w:ascii="宋体" w:hAnsi="宋体" w:eastAsia="宋体" w:cs="宋体"/>
          <w:sz w:val="32"/>
          <w:szCs w:val="32"/>
        </w:rPr>
        <w:t>其他</w:t>
      </w:r>
      <w:r>
        <w:rPr>
          <w:rFonts w:ascii="宋体" w:hAnsi="宋体" w:eastAsia="宋体" w:cs="宋体"/>
          <w:sz w:val="32"/>
          <w:szCs w:val="32"/>
        </w:rPr>
        <w:t>工作任务。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文安县文化广电和旅游局(本级)</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机关</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18451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18451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本部门2019年度收支总计（含结转和结余）11283.41万元。与2018年度决算相比，收支各减少2249.79万元，下降17%，主要原因是人员减少及职能划转后资金也划转。</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本部门2019年度本年收入合计10219.18万元，其中：财政拨款收入</w:t>
      </w:r>
      <w:r>
        <w:rPr>
          <w:rFonts w:hint="eastAsia" w:ascii="仿宋_GB2312" w:hAnsi="Times New Roman" w:eastAsia="仿宋_GB2312" w:cs="DengXian-Regular"/>
          <w:sz w:val="32"/>
          <w:szCs w:val="32"/>
          <w:lang w:val="en-US" w:eastAsia="zh-CN"/>
        </w:rPr>
        <w:t>10219.18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本部门2019年度本年支出合计11094.64万元，其中：基本支出619.42万元，占6%；项目支出10475.22万元，占94%；经营支出0万元，占0%。如图所示：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437188608" behindDoc="1" locked="0" layoutInCell="1" allowOverlap="1">
            <wp:simplePos x="0" y="0"/>
            <wp:positionH relativeFrom="column">
              <wp:posOffset>411480</wp:posOffset>
            </wp:positionH>
            <wp:positionV relativeFrom="paragraph">
              <wp:posOffset>171450</wp:posOffset>
            </wp:positionV>
            <wp:extent cx="4785360" cy="1511300"/>
            <wp:effectExtent l="4445" t="4445" r="10795" b="8255"/>
            <wp:wrapTight wrapText="bothSides">
              <wp:wrapPolygon>
                <wp:start x="-20" y="-64"/>
                <wp:lineTo x="-20" y="21446"/>
                <wp:lineTo x="21563" y="21446"/>
                <wp:lineTo x="21563" y="-64"/>
                <wp:lineTo x="-20" y="-64"/>
              </wp:wrapPolygon>
            </wp:wrapTight>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640" w:firstLineChars="2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10219.18万元,比2018年度减少2997.2万元，降低23%，主要是机构改革职能划转人员与项目减少；本年支出11094.64万元，减少2438.56万元，降低18%，主要是机构改革职能划转人员与项目减少。具体情况如下：</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10372.64万元,其中本年收入9699万元，上年结转673.64万元，比上年增加7379.2万元；主要是项目增加，资金收入增加；本年支出10371.87万元，比上年增加7260.14万元，增长233%，主要是项目增加，支出增加。</w:t>
      </w:r>
    </w:p>
    <w:p>
      <w:pPr>
        <w:numPr>
          <w:ilvl w:val="0"/>
          <w:numId w:val="1"/>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910.77万元，其中本年收入520.18万元，上年结转390.59万元，比上年减少9510.7万元，降低91%，主要原因是部门职能划转资金也相应划转；本年支出722.77万元，比上年减少9698.7万元，降低93%，主要是部门职能划转资金也相应划转，收入减少，支出相应减少。</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财政拨款本年收入10219.18万元，完成年初预算的989%（如图4）,比年初预算增加9185.62万元，决算数大于预算数主要原因是人员工资调整和项目资金；本年支出11094.64万元，完成年初预算的1073%,比年初预算增加10061.08万元，决算数大于预算数主要原因是主要是人员工资调整、项目资金增加及上年结转资金。具体情况如下：</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1007%，比年初预算增加9342.08万元，主要是项目增加、人员工资调整和上年结转资金；支出完成年初预算1006%，比年初预算增加9341.31万元，主要是项目增加、人员工资调整和上年结转资金。</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30359%，比年初预算增加907.77万元，主要是上年未完成项目资金的拨付；支出完成年初预算345729%，比年初预算增加10368.87万元，主要是本年项目资金增加及上年未完成项目资金的支付。</w:t>
      </w:r>
    </w:p>
    <w:p>
      <w:pPr>
        <w:numPr>
          <w:ilvl w:val="0"/>
          <w:numId w:val="3"/>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年度财政拨款支出11094.64万元，主要用于以下方面</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文化旅游体育与传媒支出（类）10170.06万元，占91.7%，社会保障和就业支出（类）36.29万元，占0.3%，城乡社区支出（类）526.75万元，占4.7%，其他支出（类）361.53万元，占3.3%。</w:t>
      </w:r>
    </w:p>
    <w:p>
      <w:pPr>
        <w:adjustRightInd w:val="0"/>
        <w:snapToGrid w:val="0"/>
        <w:spacing w:line="580" w:lineRule="exact"/>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drawing>
          <wp:anchor distT="0" distB="0" distL="114300" distR="114300" simplePos="0" relativeHeight="437189632" behindDoc="1" locked="0" layoutInCell="1" allowOverlap="1">
            <wp:simplePos x="0" y="0"/>
            <wp:positionH relativeFrom="column">
              <wp:posOffset>31750</wp:posOffset>
            </wp:positionH>
            <wp:positionV relativeFrom="paragraph">
              <wp:posOffset>88265</wp:posOffset>
            </wp:positionV>
            <wp:extent cx="5240655" cy="2527935"/>
            <wp:effectExtent l="4445" t="4445" r="12700" b="20320"/>
            <wp:wrapTight wrapText="bothSides">
              <wp:wrapPolygon>
                <wp:start x="-18" y="-38"/>
                <wp:lineTo x="-18" y="21448"/>
                <wp:lineTo x="21574" y="21448"/>
                <wp:lineTo x="21574" y="-38"/>
                <wp:lineTo x="-18" y="-38"/>
              </wp:wrapPolygon>
            </wp:wrapTight>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年度财政拨款基本支出619.42万元，其中：人员经费 597.19万元，主要包括基本工资、津贴补贴、奖金、绩效工资、机关事业单位基本养老保险缴费、职业年金缴费、职工基本医疗保险缴费、其他工资福利支出、生活补助、其他对个人和家庭的补助支出；公用经费 22.23万元，主要包括办公费、公务用车运行维护费、其他交通费用支出。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本部门2019年度“三公”经费支出共计10.17万元，完成预算的100%,较预算持平；较2018年度增加8.67万元，增长578%，主要是原公务用车报废，重新购置了一辆公务用车。具体情况如下：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（二）公务用车购置及运行维护费支出10.17万元。</w:t>
      </w:r>
      <w:r>
        <w:rPr>
          <w:rFonts w:hint="eastAsia" w:ascii="仿宋_GB2312" w:hAnsi="Times New Roman" w:eastAsia="仿宋_GB2312" w:cs="DengXian-Regular"/>
          <w:sz w:val="32"/>
          <w:szCs w:val="32"/>
        </w:rPr>
        <w:t>本部门2019年度公务用车购置及运行维护费较预算持平；较上年增加9.93万元，增加4138%,主要是原公务用车报废，重新购置了一辆公务用车。</w:t>
      </w:r>
    </w:p>
    <w:p>
      <w:pPr>
        <w:adjustRightInd w:val="0"/>
        <w:snapToGrid w:val="0"/>
        <w:spacing w:line="580" w:lineRule="exact"/>
        <w:ind w:firstLine="643" w:firstLineChars="200"/>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本部门2019年度公务用车购置量1辆，发生“公务用车购置”经费支出9.99万元。公务用车购置费支出较预算持平；较上年增加9.99万元，主要是原公务用车报废，重新购置了一辆公务用车。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w:t>
      </w:r>
      <w:bookmarkStart w:id="0" w:name="_GoBack"/>
      <w:bookmarkEnd w:id="0"/>
      <w:r>
        <w:rPr>
          <w:rFonts w:hint="eastAsia" w:ascii="仿宋_GB2312" w:hAnsi="Times New Roman" w:eastAsia="仿宋_GB2312" w:cs="DengXian-Regular"/>
          <w:sz w:val="32"/>
          <w:szCs w:val="32"/>
        </w:rPr>
        <w:t>公务用车保有量1辆。公车运行维护费支出较预算持平；较上年减少0.06万元，降低25%，主要是压减三公经费支出。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本部门2019年度公务接待共0批次、0人次。公务接待费支出较预算持平；较上年度减少1.26万元，降低100%,主要是压减三公经费支出。</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根据预算绩效管理要求，本部门组织对2019年度一般公共预算项目支出全面开展绩效自评，其中，一级项目11个，二级项目0个，共涉及资金</w:t>
      </w:r>
      <w:r>
        <w:rPr>
          <w:rFonts w:hint="eastAsia" w:ascii="仿宋" w:hAnsi="仿宋" w:eastAsia="仿宋" w:cs="仿宋"/>
          <w:sz w:val="32"/>
          <w:szCs w:val="32"/>
        </w:rPr>
        <w:t>9424.46万元</w:t>
      </w:r>
      <w:r>
        <w:rPr>
          <w:rFonts w:hint="eastAsia" w:ascii="仿宋_GB2312" w:hAnsi="仿宋_GB2312" w:eastAsia="仿宋_GB2312" w:cs="仿宋_GB2312"/>
          <w:sz w:val="32"/>
          <w:szCs w:val="32"/>
        </w:rPr>
        <w:t>，占一般公共预算项目支出总额的85%。组织对2019年度</w:t>
      </w:r>
      <w:r>
        <w:rPr>
          <w:rFonts w:hint="eastAsia" w:ascii="仿宋" w:hAnsi="仿宋" w:eastAsia="仿宋" w:cs="仿宋"/>
          <w:sz w:val="32"/>
          <w:szCs w:val="32"/>
        </w:rPr>
        <w:t>体育专项资金</w:t>
      </w:r>
      <w:r>
        <w:rPr>
          <w:rFonts w:hint="eastAsia" w:ascii="仿宋_GB2312" w:hAnsi="仿宋_GB2312" w:eastAsia="仿宋_GB2312" w:cs="仿宋_GB2312"/>
          <w:sz w:val="32"/>
          <w:szCs w:val="32"/>
        </w:rPr>
        <w:t>，1个政府性基金预算项目支出开展绩效自评，共涉及资金80万元，占政府性基金预算项目支出总额的100%。组织对“</w:t>
      </w:r>
      <w:r>
        <w:rPr>
          <w:rFonts w:hint="eastAsia" w:ascii="仿宋" w:hAnsi="仿宋" w:eastAsia="仿宋" w:cs="仿宋"/>
          <w:sz w:val="32"/>
          <w:szCs w:val="32"/>
        </w:rPr>
        <w:t>“国学春晚</w:t>
      </w:r>
      <w:r>
        <w:rPr>
          <w:rFonts w:hint="eastAsia" w:ascii="仿宋_GB2312" w:hAnsi="仿宋_GB2312" w:eastAsia="仿宋_GB2312" w:cs="仿宋_GB2312"/>
          <w:sz w:val="32"/>
          <w:szCs w:val="32"/>
        </w:rPr>
        <w:t>”“</w:t>
      </w:r>
      <w:r>
        <w:rPr>
          <w:rFonts w:hint="eastAsia" w:ascii="仿宋" w:hAnsi="仿宋" w:eastAsia="仿宋" w:cs="仿宋"/>
          <w:sz w:val="32"/>
          <w:szCs w:val="32"/>
        </w:rPr>
        <w:t>旅游发展资金</w:t>
      </w:r>
      <w:r>
        <w:rPr>
          <w:rFonts w:hint="eastAsia" w:ascii="仿宋_GB2312" w:hAnsi="仿宋_GB2312" w:eastAsia="仿宋_GB2312" w:cs="仿宋_GB2312"/>
          <w:sz w:val="32"/>
          <w:szCs w:val="32"/>
        </w:rPr>
        <w:t>”等10个项目开展了部门评价，涉及一般公共预算支出9344.46万元，政府性基金预算支出80万元。从评价情况来看，</w:t>
      </w:r>
      <w:r>
        <w:rPr>
          <w:rFonts w:hint="eastAsia" w:ascii="仿宋" w:hAnsi="仿宋" w:eastAsia="仿宋" w:cs="仿宋"/>
          <w:sz w:val="32"/>
          <w:szCs w:val="32"/>
        </w:rPr>
        <w:t>项目基本完成了年度绩效目标。项目的所有开支均按照单位制度执行，资金的使用全部实行专账管理，专款专用，严格把关，项目的日常管理工作均按照我单位相关管理制度执行，建立了工作有计划、实施有方案、日常有监督的管理机制。各个项目资金使用与具体项目实施内容相符，绩效总目标和阶段性目标都已按照计划完成。</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 w:hAnsi="仿宋" w:eastAsia="仿宋" w:cs="仿宋"/>
          <w:sz w:val="32"/>
          <w:szCs w:val="32"/>
        </w:rPr>
        <w:t>“国学春晚”</w:t>
      </w:r>
      <w:r>
        <w:rPr>
          <w:rFonts w:hint="eastAsia" w:ascii="仿宋_GB2312" w:hAnsi="仿宋_GB2312" w:eastAsia="仿宋_GB2312" w:cs="仿宋_GB2312"/>
          <w:sz w:val="32"/>
          <w:szCs w:val="32"/>
        </w:rPr>
        <w:t>项目及</w:t>
      </w:r>
      <w:r>
        <w:rPr>
          <w:rFonts w:hint="eastAsia" w:ascii="仿宋" w:hAnsi="仿宋" w:eastAsia="仿宋" w:cs="仿宋"/>
          <w:sz w:val="32"/>
          <w:szCs w:val="32"/>
        </w:rPr>
        <w:t>旅游发展资金</w:t>
      </w:r>
      <w:r>
        <w:rPr>
          <w:rFonts w:hint="eastAsia" w:ascii="仿宋_GB2312" w:hAnsi="仿宋_GB2312" w:eastAsia="仿宋_GB2312" w:cs="仿宋_GB2312"/>
          <w:sz w:val="32"/>
          <w:szCs w:val="32"/>
        </w:rPr>
        <w:t>项目等11个项目绩效自评结果。</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“国学春晚”</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“国学春晚”</w:t>
      </w:r>
      <w:r>
        <w:rPr>
          <w:rFonts w:hint="eastAsia" w:ascii="仿宋_GB2312" w:hAnsi="仿宋_GB2312" w:eastAsia="仿宋_GB2312" w:cs="仿宋_GB2312"/>
          <w:sz w:val="32"/>
          <w:szCs w:val="32"/>
        </w:rPr>
        <w:t>项目绩效自评得分为10分（绩效自评表附后）。全年预算数为19.98万元，执行数为19.98万元，完成预算的100%。项目绩效目标完成情况：一是产出指标；二是效益指标。未发现主要问题。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公共文化服务体系建设</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公共文化服务体系建设</w:t>
      </w:r>
      <w:r>
        <w:rPr>
          <w:rFonts w:hint="eastAsia" w:ascii="仿宋_GB2312" w:hAnsi="仿宋_GB2312" w:eastAsia="仿宋_GB2312" w:cs="仿宋_GB2312"/>
          <w:sz w:val="32"/>
          <w:szCs w:val="32"/>
        </w:rPr>
        <w:t>项目绩效自评得分为9分（绩效自评表附后）。全年预算数为</w:t>
      </w:r>
      <w:r>
        <w:rPr>
          <w:rFonts w:hint="eastAsia" w:ascii="仿宋" w:hAnsi="仿宋" w:eastAsia="仿宋" w:cs="仿宋"/>
          <w:sz w:val="32"/>
          <w:szCs w:val="32"/>
        </w:rPr>
        <w:t>221.61</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195.22</w:t>
      </w:r>
      <w:r>
        <w:rPr>
          <w:rFonts w:hint="eastAsia" w:ascii="仿宋_GB2312" w:hAnsi="仿宋_GB2312" w:eastAsia="仿宋_GB2312" w:cs="仿宋_GB2312"/>
          <w:sz w:val="32"/>
          <w:szCs w:val="32"/>
        </w:rPr>
        <w:t>万元，完成预算的88%。项目绩效目标完成情况：一是产出指标；二是效益指标。发现的主要问题及原因：产出指标中实际执行活动次数未达到预期数量。下一步改进措施：下一年度预算中调整活动次数，争取达到预期执行活动次数。</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国家电影事业发展</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国家电影事业发展</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3</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3</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非物质文化遗产保护</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非物质文化遗产保护</w:t>
      </w:r>
      <w:r>
        <w:rPr>
          <w:rFonts w:hint="eastAsia" w:ascii="仿宋_GB2312" w:hAnsi="仿宋_GB2312" w:eastAsia="仿宋_GB2312" w:cs="仿宋_GB2312"/>
          <w:sz w:val="32"/>
          <w:szCs w:val="32"/>
        </w:rPr>
        <w:t>项目绩效自评得分为3分（绩效自评表附后）。全年预算数为</w:t>
      </w:r>
      <w:r>
        <w:rPr>
          <w:rFonts w:hint="eastAsia" w:ascii="仿宋" w:hAnsi="仿宋" w:eastAsia="仿宋" w:cs="仿宋"/>
          <w:sz w:val="32"/>
          <w:szCs w:val="32"/>
        </w:rPr>
        <w:t>42.8</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12.65</w:t>
      </w:r>
      <w:r>
        <w:rPr>
          <w:rFonts w:hint="eastAsia" w:ascii="仿宋_GB2312" w:hAnsi="仿宋_GB2312" w:eastAsia="仿宋_GB2312" w:cs="仿宋_GB2312"/>
          <w:sz w:val="32"/>
          <w:szCs w:val="32"/>
        </w:rPr>
        <w:t>万元，完成预算的30%。项目绩效目标完成情况：一是产出指标；二是效益指标。发现的主要问题及原因：产出指标中项目未按期进行。下一步改进措施：在2020年度中项目已完结。</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三馆一站免费开放及县级配套</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三馆一站免费开放及县级配套</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69.5</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68.80</w:t>
      </w:r>
      <w:r>
        <w:rPr>
          <w:rFonts w:hint="eastAsia" w:ascii="仿宋_GB2312" w:hAnsi="仿宋_GB2312" w:eastAsia="仿宋_GB2312" w:cs="仿宋_GB2312"/>
          <w:sz w:val="32"/>
          <w:szCs w:val="32"/>
        </w:rPr>
        <w:t>万元，完成预算的99%。项目绩效目标完成情况：一是产出指标；二是效益指标。未发现主要问题。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网络监督员补助</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网络监督员补助</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1.56</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1.56</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旅游发展</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旅游发展</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298.92</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298.92</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体育专项</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体育专项</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80</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80</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大清河马拉松道路工程</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大清河马拉松道路工程</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641.4</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641.4</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文化艺术中心</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文化艺术中心工程</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8043.69</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8043.69</w:t>
      </w:r>
      <w:r>
        <w:rPr>
          <w:rFonts w:hint="eastAsia" w:ascii="仿宋_GB2312" w:hAnsi="仿宋_GB2312" w:eastAsia="仿宋_GB2312" w:cs="仿宋_GB2312"/>
          <w:sz w:val="32"/>
          <w:szCs w:val="32"/>
        </w:rPr>
        <w:t>万元，完成预算的100%。项目绩效目标完成情况：一是产出指标；二是效益指标。未发现主要问题。</w:t>
      </w:r>
    </w:p>
    <w:p>
      <w:pPr>
        <w:numPr>
          <w:ilvl w:val="0"/>
          <w:numId w:val="4"/>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剧团补助</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sz w:val="32"/>
          <w:szCs w:val="32"/>
        </w:rPr>
        <w:t>剧团补助</w:t>
      </w:r>
      <w:r>
        <w:rPr>
          <w:rFonts w:hint="eastAsia" w:ascii="仿宋_GB2312" w:hAnsi="仿宋_GB2312" w:eastAsia="仿宋_GB2312" w:cs="仿宋_GB2312"/>
          <w:sz w:val="32"/>
          <w:szCs w:val="32"/>
        </w:rPr>
        <w:t>项目绩效自评得分为10分（绩效自评表附后）。全年预算数为</w:t>
      </w:r>
      <w:r>
        <w:rPr>
          <w:rFonts w:hint="eastAsia" w:ascii="仿宋" w:hAnsi="仿宋" w:eastAsia="仿宋" w:cs="仿宋"/>
          <w:sz w:val="32"/>
          <w:szCs w:val="32"/>
        </w:rPr>
        <w:t>２</w:t>
      </w:r>
      <w:r>
        <w:rPr>
          <w:rFonts w:hint="eastAsia" w:ascii="仿宋_GB2312" w:hAnsi="仿宋_GB2312" w:eastAsia="仿宋_GB2312" w:cs="仿宋_GB2312"/>
          <w:sz w:val="32"/>
          <w:szCs w:val="32"/>
        </w:rPr>
        <w:t>万元，执行数为</w:t>
      </w:r>
      <w:r>
        <w:rPr>
          <w:rFonts w:hint="eastAsia" w:ascii="仿宋" w:hAnsi="仿宋" w:eastAsia="仿宋" w:cs="仿宋"/>
          <w:sz w:val="32"/>
          <w:szCs w:val="32"/>
        </w:rPr>
        <w:t>２</w:t>
      </w:r>
      <w:r>
        <w:rPr>
          <w:rFonts w:hint="eastAsia" w:ascii="仿宋_GB2312" w:hAnsi="仿宋_GB2312" w:eastAsia="仿宋_GB2312" w:cs="仿宋_GB2312"/>
          <w:sz w:val="32"/>
          <w:szCs w:val="32"/>
        </w:rPr>
        <w:t>万元，完成预算的100%。项目绩效目标完成情况：一是产出指标；二是效益指标。未发现主要问题。</w:t>
      </w:r>
    </w:p>
    <w:p>
      <w:pPr>
        <w:pStyle w:val="6"/>
        <w:widowControl/>
        <w:wordWrap w:val="0"/>
        <w:spacing w:before="76" w:beforeAutospacing="0" w:after="180" w:afterAutospacing="0" w:line="600" w:lineRule="atLeas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财政评价项目绩效评价结果</w:t>
      </w:r>
    </w:p>
    <w:p>
      <w:pPr>
        <w:pStyle w:val="6"/>
        <w:widowControl/>
        <w:wordWrap w:val="0"/>
        <w:spacing w:before="76" w:beforeAutospacing="0" w:after="180" w:afterAutospacing="0" w:line="60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项目基本完成了年度绩效目标。项目的所有开支均按照单位制度执行，资金的使用全部实行专账管理，专款专用，严格把关，项目的日常管理工作均按照我单位相关管理制度执行，建立了工作有计划、实施有方案、日常有监督的管理机制。各个项目资金使用与具体项目实施内容相符，绩效总目标和阶段性目标都已按照计划完成。工作取得了较好的成效，效能得到了提高。</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本部门2019年度机关运行经费支出22.23万元，比年初预算减少8.95万元，主要是按要求减少支出；比2018年度增加13.33万元，增长150%。主要原因是因原公务车年限较长，报废重新购置。</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本部门2019年度政府采购支出总额605.42万元，从采购类型来看，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bidi="ar"/>
        </w:rPr>
        <w:t>38.3</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bidi="ar"/>
        </w:rPr>
        <w:t>567.12</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bidi="ar"/>
        </w:rPr>
        <w:t>额0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3辆，与上年持平。其中，副部（省）级及以上领导用车0辆，主要领导干部用车0辆，机要通信用车0辆，应急保障用车1辆，执法执勤用车0辆，特种专业技术用车0辆，离退休干部用车0辆，其他用车2辆，其他用车主要是业务流动服务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eastAsia="仿宋_GB2312" w:cs="DengXian-Regular"/>
          <w:sz w:val="32"/>
          <w:szCs w:val="32"/>
        </w:rPr>
        <w:t>本部门2019年度国有资本经营预算财政拨款支出情况无收支及结转结余情况，故以空表列示。</w:t>
      </w:r>
    </w:p>
    <w:p>
      <w:pPr>
        <w:adjustRightInd w:val="0"/>
        <w:snapToGrid w:val="0"/>
        <w:spacing w:line="580" w:lineRule="exact"/>
        <w:ind w:firstLine="640" w:firstLineChars="200"/>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18553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18553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Pr>
        <w:tabs>
          <w:tab w:val="left" w:pos="235"/>
        </w:tabs>
        <w:jc w:val="left"/>
        <w:sectPr>
          <w:headerReference r:id="rId20"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43719065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43719065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629" w:type="dxa"/>
        <w:jc w:val="center"/>
        <w:tblInd w:w="0" w:type="dxa"/>
        <w:tblLayout w:type="fixed"/>
        <w:tblCellMar>
          <w:top w:w="0" w:type="dxa"/>
          <w:left w:w="0" w:type="dxa"/>
          <w:bottom w:w="0" w:type="dxa"/>
          <w:right w:w="0" w:type="dxa"/>
        </w:tblCellMar>
      </w:tblPr>
      <w:tblGrid>
        <w:gridCol w:w="3184"/>
        <w:gridCol w:w="651"/>
        <w:gridCol w:w="959"/>
        <w:gridCol w:w="3270"/>
        <w:gridCol w:w="585"/>
        <w:gridCol w:w="980"/>
      </w:tblGrid>
      <w:tr>
        <w:tblPrEx>
          <w:tblLayout w:type="fixed"/>
          <w:tblCellMar>
            <w:top w:w="0" w:type="dxa"/>
            <w:left w:w="0" w:type="dxa"/>
            <w:bottom w:w="0" w:type="dxa"/>
            <w:right w:w="0" w:type="dxa"/>
          </w:tblCellMar>
        </w:tblPrEx>
        <w:trPr>
          <w:trHeight w:val="213" w:hRule="atLeast"/>
          <w:jc w:val="center"/>
        </w:trPr>
        <w:tc>
          <w:tcPr>
            <w:tcW w:w="9629"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139" w:hRule="atLeast"/>
          <w:jc w:val="center"/>
        </w:trPr>
        <w:tc>
          <w:tcPr>
            <w:tcW w:w="318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3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185" w:hRule="atLeast"/>
          <w:jc w:val="center"/>
        </w:trPr>
        <w:tc>
          <w:tcPr>
            <w:tcW w:w="318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3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143" w:hRule="atLeast"/>
          <w:jc w:val="center"/>
        </w:trPr>
        <w:tc>
          <w:tcPr>
            <w:tcW w:w="47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83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336"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9699.00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520.18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10170.06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75"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361.53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10219.18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11094.64　</w:t>
            </w:r>
          </w:p>
        </w:tc>
      </w:tr>
      <w:tr>
        <w:tblPrEx>
          <w:tblLayout w:type="fixed"/>
          <w:tblCellMar>
            <w:top w:w="0" w:type="dxa"/>
            <w:left w:w="0" w:type="dxa"/>
            <w:bottom w:w="0" w:type="dxa"/>
            <w:right w:w="0" w:type="dxa"/>
          </w:tblCellMar>
        </w:tblPrEx>
        <w:trPr>
          <w:trHeight w:val="143"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67"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1064.23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188.78　</w:t>
            </w:r>
          </w:p>
        </w:tc>
      </w:tr>
      <w:tr>
        <w:tblPrEx>
          <w:tblLayout w:type="fixed"/>
          <w:tblCellMar>
            <w:top w:w="0" w:type="dxa"/>
            <w:left w:w="0" w:type="dxa"/>
            <w:bottom w:w="0" w:type="dxa"/>
            <w:right w:w="0" w:type="dxa"/>
          </w:tblCellMar>
        </w:tblPrEx>
        <w:trPr>
          <w:trHeight w:val="237"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90" w:hRule="atLeast"/>
          <w:jc w:val="center"/>
        </w:trPr>
        <w:tc>
          <w:tcPr>
            <w:tcW w:w="31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6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9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11283.41　</w:t>
            </w:r>
          </w:p>
        </w:tc>
        <w:tc>
          <w:tcPr>
            <w:tcW w:w="3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9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11283.41　</w:t>
            </w:r>
          </w:p>
        </w:tc>
      </w:tr>
      <w:tr>
        <w:tblPrEx>
          <w:tblLayout w:type="fixed"/>
          <w:tblCellMar>
            <w:top w:w="0" w:type="dxa"/>
            <w:left w:w="0" w:type="dxa"/>
            <w:bottom w:w="0" w:type="dxa"/>
            <w:right w:w="0" w:type="dxa"/>
          </w:tblCellMar>
        </w:tblPrEx>
        <w:trPr>
          <w:trHeight w:val="406" w:hRule="atLeast"/>
          <w:jc w:val="center"/>
        </w:trPr>
        <w:tc>
          <w:tcPr>
            <w:tcW w:w="9629"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tbl>
      <w:tblPr>
        <w:tblStyle w:val="7"/>
        <w:tblW w:w="10984" w:type="dxa"/>
        <w:jc w:val="center"/>
        <w:tblInd w:w="0" w:type="dxa"/>
        <w:tblLayout w:type="fixed"/>
        <w:tblCellMar>
          <w:top w:w="0" w:type="dxa"/>
          <w:left w:w="0" w:type="dxa"/>
          <w:bottom w:w="0" w:type="dxa"/>
          <w:right w:w="0" w:type="dxa"/>
        </w:tblCellMar>
      </w:tblPr>
      <w:tblGrid>
        <w:gridCol w:w="1000"/>
        <w:gridCol w:w="57"/>
        <w:gridCol w:w="56"/>
        <w:gridCol w:w="3491"/>
        <w:gridCol w:w="1092"/>
        <w:gridCol w:w="1365"/>
        <w:gridCol w:w="900"/>
        <w:gridCol w:w="555"/>
        <w:gridCol w:w="615"/>
        <w:gridCol w:w="752"/>
        <w:gridCol w:w="1101"/>
      </w:tblGrid>
      <w:tr>
        <w:tblPrEx>
          <w:tblLayout w:type="fixed"/>
          <w:tblCellMar>
            <w:top w:w="0" w:type="dxa"/>
            <w:left w:w="0" w:type="dxa"/>
            <w:bottom w:w="0" w:type="dxa"/>
            <w:right w:w="0" w:type="dxa"/>
          </w:tblCellMar>
        </w:tblPrEx>
        <w:trPr>
          <w:trHeight w:val="90" w:hRule="atLeast"/>
          <w:jc w:val="center"/>
        </w:trPr>
        <w:tc>
          <w:tcPr>
            <w:tcW w:w="10984"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90" w:hRule="atLeast"/>
          <w:jc w:val="center"/>
        </w:trPr>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5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90" w:hRule="atLeast"/>
          <w:jc w:val="center"/>
        </w:trPr>
        <w:tc>
          <w:tcPr>
            <w:tcW w:w="100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4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9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6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9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3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55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6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7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1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0" w:type="dxa"/>
            <w:bottom w:w="0" w:type="dxa"/>
            <w:right w:w="0" w:type="dxa"/>
          </w:tblCellMar>
        </w:tblPrEx>
        <w:trPr>
          <w:trHeight w:val="312" w:hRule="atLeast"/>
          <w:jc w:val="center"/>
        </w:trPr>
        <w:tc>
          <w:tcPr>
            <w:tcW w:w="111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49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1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9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9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460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3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6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7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1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90" w:hRule="atLeast"/>
          <w:jc w:val="center"/>
        </w:trPr>
        <w:tc>
          <w:tcPr>
            <w:tcW w:w="460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10,219.18</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10,219.18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文化旅游体育与传媒支出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9,665.71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9,665.71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文化和旅游</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9,387.21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9,387.21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2070101</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行政运行</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552.49</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552.49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2070107</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艺术表演团体</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2070109</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群众文化</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2070111</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文化创作与保护</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2070113</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旅游宣传</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2070199</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其他文化和旅游支出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8,816.91</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8,816.91</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20703</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体育</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30.66</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2070301</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行政运行</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30.66</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30.66</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20707</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国家电影事业发展专项资金安排的支出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2070701</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资助国产影片放映</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20799</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其他文化体育与传媒支出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244.84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244.84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2079999</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其他文化体育与传媒支出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244.84</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244.84</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社会保障和就业支出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行政事业单位离退休</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机关事业单位基本养老保险缴费支出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城乡社区支出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564"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21208</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国有土地使用权出让收入及对应专项债务收入安排的支出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2120804</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农村基础设施建设支出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22960</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彩票公益金安排的支出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11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2296003</w:t>
            </w:r>
          </w:p>
        </w:tc>
        <w:tc>
          <w:tcPr>
            <w:tcW w:w="34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 xml:space="preserve">  用于体育事业的彩票公益金支出</w:t>
            </w:r>
          </w:p>
        </w:tc>
        <w:tc>
          <w:tcPr>
            <w:tcW w:w="10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9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10984"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tbl>
      <w:tblPr>
        <w:tblStyle w:val="7"/>
        <w:tblW w:w="9680" w:type="dxa"/>
        <w:jc w:val="center"/>
        <w:tblInd w:w="0" w:type="dxa"/>
        <w:tblLayout w:type="fixed"/>
        <w:tblCellMar>
          <w:top w:w="0" w:type="dxa"/>
          <w:left w:w="0" w:type="dxa"/>
          <w:bottom w:w="0" w:type="dxa"/>
          <w:right w:w="0" w:type="dxa"/>
        </w:tblCellMar>
      </w:tblPr>
      <w:tblGrid>
        <w:gridCol w:w="941"/>
        <w:gridCol w:w="53"/>
        <w:gridCol w:w="240"/>
        <w:gridCol w:w="2385"/>
        <w:gridCol w:w="1065"/>
        <w:gridCol w:w="930"/>
        <w:gridCol w:w="1110"/>
        <w:gridCol w:w="720"/>
        <w:gridCol w:w="825"/>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kern w:val="0"/>
                <w:sz w:val="32"/>
                <w:szCs w:val="32"/>
                <w:lang w:bidi="ar"/>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28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28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3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23" w:hRule="atLeast"/>
          <w:jc w:val="center"/>
        </w:trPr>
        <w:tc>
          <w:tcPr>
            <w:tcW w:w="36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9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7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8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238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361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23" w:hRule="atLeast"/>
          <w:jc w:val="center"/>
        </w:trPr>
        <w:tc>
          <w:tcPr>
            <w:tcW w:w="361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11,094.64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619.42</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10,475.22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99"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文化旅游体育与传媒支出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10,170.06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583.13</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9,586.94</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6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文化和旅游</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9,676.97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552.49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9,124.48</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3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行政运行</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552.49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552.49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4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2070107</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艺术表演团体</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9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2070109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群众文化</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2070111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文化创作与保护</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2070113</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旅游宣传</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2070199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其他文化和旅游支出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9,106.68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9,106.68</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20703</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体育</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9"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2070301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行政运行</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30.64</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519"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20707</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国家电影事业发展专项资金安排的支出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6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2070701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资助国产影片放映</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旅游发展基金支出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6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2070904</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地方旅游开发项目补助</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20799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其他文化体育与传媒支出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449.45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449.45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2079999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 xml:space="preserve"> 其他文化体育与传媒支出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449.45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449.45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社会保障和就业支出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20805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行政事业单位离退休</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2080505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机关事业单位基本养老保险缴费支出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36.29</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212</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城乡社区支出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21208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国有土地使用权出让收入及对应专项债务收入安排的支出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6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2120804</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农村基础设施建设支出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526.75</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52"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229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361.53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361.53</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6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22960</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彩票公益金安排的支出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158"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2296003</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用于体育事业的彩票公益金支出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183.02</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22999</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其他支出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178.51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178.51</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2299901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3"/>
                <w:szCs w:val="13"/>
              </w:rPr>
            </w:pPr>
            <w:r>
              <w:rPr>
                <w:rFonts w:hint="eastAsia" w:ascii="宋体" w:hAnsi="宋体" w:eastAsia="宋体" w:cs="宋体"/>
                <w:color w:val="000000"/>
                <w:kern w:val="0"/>
                <w:sz w:val="13"/>
                <w:szCs w:val="13"/>
                <w:lang w:bidi="ar"/>
              </w:rPr>
              <w:t xml:space="preserve">  其他支出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178.51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178.51</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7"/>
        <w:tblW w:w="10866" w:type="dxa"/>
        <w:jc w:val="center"/>
        <w:tblInd w:w="0" w:type="dxa"/>
        <w:tblLayout w:type="fixed"/>
        <w:tblCellMar>
          <w:top w:w="0" w:type="dxa"/>
          <w:left w:w="0" w:type="dxa"/>
          <w:bottom w:w="0" w:type="dxa"/>
          <w:right w:w="0" w:type="dxa"/>
        </w:tblCellMar>
      </w:tblPr>
      <w:tblGrid>
        <w:gridCol w:w="2872"/>
        <w:gridCol w:w="585"/>
        <w:gridCol w:w="1020"/>
        <w:gridCol w:w="2941"/>
        <w:gridCol w:w="570"/>
        <w:gridCol w:w="1129"/>
        <w:gridCol w:w="1016"/>
        <w:gridCol w:w="733"/>
      </w:tblGrid>
      <w:tr>
        <w:tblPrEx>
          <w:tblLayout w:type="fixed"/>
          <w:tblCellMar>
            <w:top w:w="0" w:type="dxa"/>
            <w:left w:w="0" w:type="dxa"/>
            <w:bottom w:w="0" w:type="dxa"/>
            <w:right w:w="0" w:type="dxa"/>
          </w:tblCellMar>
        </w:tblPrEx>
        <w:trPr>
          <w:trHeight w:val="406" w:hRule="atLeast"/>
          <w:jc w:val="center"/>
        </w:trPr>
        <w:tc>
          <w:tcPr>
            <w:tcW w:w="10866"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7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7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44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6389"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10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29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112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0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7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1175" w:hRule="atLeast"/>
          <w:jc w:val="center"/>
        </w:trPr>
        <w:tc>
          <w:tcPr>
            <w:tcW w:w="2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2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9699.00</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520.18</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10170.06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10157.06</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13.00</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36.29</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36.29</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526.75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526.75</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361.53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178.51</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183.02</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10219.18</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11094.64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10371.87</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722.77</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1064.23</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188.78</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0.78</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188.00</w:t>
            </w: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673.64</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390.59</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8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11283.41</w:t>
            </w:r>
          </w:p>
        </w:tc>
        <w:tc>
          <w:tcPr>
            <w:tcW w:w="2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11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11283.41</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10372.64</w:t>
            </w:r>
          </w:p>
        </w:tc>
        <w:tc>
          <w:tcPr>
            <w:tcW w:w="7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910.77</w:t>
            </w:r>
          </w:p>
        </w:tc>
      </w:tr>
      <w:tr>
        <w:tblPrEx>
          <w:tblLayout w:type="fixed"/>
          <w:tblCellMar>
            <w:top w:w="0" w:type="dxa"/>
            <w:left w:w="0" w:type="dxa"/>
            <w:bottom w:w="0" w:type="dxa"/>
            <w:right w:w="0" w:type="dxa"/>
          </w:tblCellMar>
        </w:tblPrEx>
        <w:trPr>
          <w:trHeight w:val="90" w:hRule="atLeast"/>
          <w:jc w:val="center"/>
        </w:trPr>
        <w:tc>
          <w:tcPr>
            <w:tcW w:w="10866"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7"/>
        <w:tblpPr w:leftFromText="180" w:rightFromText="180" w:vertAnchor="text" w:horzAnchor="page" w:tblpX="1388" w:tblpY="166"/>
        <w:tblOverlap w:val="never"/>
        <w:tblW w:w="8985" w:type="dxa"/>
        <w:tblInd w:w="0" w:type="dxa"/>
        <w:tblLayout w:type="fixed"/>
        <w:tblCellMar>
          <w:top w:w="0" w:type="dxa"/>
          <w:left w:w="0" w:type="dxa"/>
          <w:bottom w:w="0" w:type="dxa"/>
          <w:right w:w="0" w:type="dxa"/>
        </w:tblCellMar>
      </w:tblPr>
      <w:tblGrid>
        <w:gridCol w:w="1174"/>
        <w:gridCol w:w="67"/>
        <w:gridCol w:w="67"/>
        <w:gridCol w:w="1602"/>
        <w:gridCol w:w="1905"/>
        <w:gridCol w:w="2040"/>
        <w:gridCol w:w="2130"/>
      </w:tblGrid>
      <w:tr>
        <w:tblPrEx>
          <w:tblLayout w:type="fixed"/>
          <w:tblCellMar>
            <w:top w:w="0" w:type="dxa"/>
            <w:left w:w="0" w:type="dxa"/>
            <w:bottom w:w="0" w:type="dxa"/>
            <w:right w:w="0" w:type="dxa"/>
          </w:tblCellMar>
        </w:tblPrEx>
        <w:trPr>
          <w:trHeight w:val="600" w:hRule="atLeast"/>
        </w:trPr>
        <w:tc>
          <w:tcPr>
            <w:tcW w:w="898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7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7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0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0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9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0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1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9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9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29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trPr>
        <w:tc>
          <w:tcPr>
            <w:tcW w:w="29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10,371.87</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619.42</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9,752.45</w:t>
            </w:r>
          </w:p>
        </w:tc>
      </w:tr>
      <w:tr>
        <w:tblPrEx>
          <w:tblLayout w:type="fixed"/>
          <w:tblCellMar>
            <w:top w:w="0" w:type="dxa"/>
            <w:left w:w="0" w:type="dxa"/>
            <w:bottom w:w="0" w:type="dxa"/>
            <w:right w:w="0"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文化旅游体育与传媒支出</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10,157.06</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583.13</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9,573.94</w:t>
            </w:r>
          </w:p>
        </w:tc>
      </w:tr>
      <w:tr>
        <w:tblPrEx>
          <w:tblLayout w:type="fixed"/>
          <w:tblCellMar>
            <w:top w:w="0" w:type="dxa"/>
            <w:left w:w="0" w:type="dxa"/>
            <w:bottom w:w="0" w:type="dxa"/>
            <w:right w:w="0"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文化和旅游</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9,676.97</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552.49</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9,124.48</w:t>
            </w:r>
          </w:p>
        </w:tc>
      </w:tr>
      <w:tr>
        <w:tblPrEx>
          <w:tblLayout w:type="fixed"/>
          <w:tblCellMar>
            <w:top w:w="0" w:type="dxa"/>
            <w:left w:w="0" w:type="dxa"/>
            <w:bottom w:w="0" w:type="dxa"/>
            <w:right w:w="0"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2070101</w:t>
            </w:r>
          </w:p>
        </w:tc>
        <w:tc>
          <w:tcPr>
            <w:tcW w:w="16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行政运行</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552.49</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552.49</w:t>
            </w:r>
          </w:p>
        </w:tc>
        <w:tc>
          <w:tcPr>
            <w:tcW w:w="21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2070107</w:t>
            </w:r>
          </w:p>
        </w:tc>
        <w:tc>
          <w:tcPr>
            <w:tcW w:w="160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艺术表演团体</w:t>
            </w:r>
          </w:p>
        </w:tc>
        <w:tc>
          <w:tcPr>
            <w:tcW w:w="19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t>
            </w:r>
          </w:p>
        </w:tc>
        <w:tc>
          <w:tcPr>
            <w:tcW w:w="204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2.00</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2070109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群众文化</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2070111</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文化创作与保护</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1.80</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1.80</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2070113</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旅游宣传</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4.00</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4.00</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2070199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其他文化和旅游支出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9,106.68</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9,106.68</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20703</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体育</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30.64</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30.64</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2070301</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行政运行</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30.64</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30.64</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20799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其他文化体育与传媒支出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449.45</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449.45</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2079999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其他文化体育与传媒支出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449.45</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449.45</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机关事业单位基本养老保险缴费支出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36.29</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r>
      <w:tr>
        <w:tblPrEx>
          <w:tblLayout w:type="fixed"/>
          <w:tblCellMar>
            <w:top w:w="0" w:type="dxa"/>
            <w:left w:w="0" w:type="dxa"/>
            <w:bottom w:w="0" w:type="dxa"/>
            <w:right w:w="0" w:type="dxa"/>
          </w:tblCellMar>
        </w:tblPrEx>
        <w:trPr>
          <w:trHeight w:val="30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2299901</w:t>
            </w:r>
          </w:p>
        </w:tc>
        <w:tc>
          <w:tcPr>
            <w:tcW w:w="16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1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c>
          <w:tcPr>
            <w:tcW w:w="20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178.51</w:t>
            </w:r>
          </w:p>
        </w:tc>
      </w:tr>
      <w:tr>
        <w:tblPrEx>
          <w:tblLayout w:type="fixed"/>
          <w:tblCellMar>
            <w:top w:w="0" w:type="dxa"/>
            <w:left w:w="0" w:type="dxa"/>
            <w:bottom w:w="0" w:type="dxa"/>
            <w:right w:w="0" w:type="dxa"/>
          </w:tblCellMar>
        </w:tblPrEx>
        <w:trPr>
          <w:trHeight w:val="308" w:hRule="atLeast"/>
        </w:trPr>
        <w:tc>
          <w:tcPr>
            <w:tcW w:w="8985" w:type="dxa"/>
            <w:gridSpan w:val="7"/>
            <w:tcBorders>
              <w:top w:val="single" w:color="auto" w:sz="4" w:space="0"/>
              <w:left w:val="nil"/>
              <w:bottom w:val="nil"/>
              <w:right w:val="nil"/>
            </w:tcBorders>
            <w:shd w:val="clear" w:color="auto" w:fill="auto"/>
            <w:noWrap/>
            <w:tcMar>
              <w:top w:w="15" w:type="dxa"/>
              <w:left w:w="15" w:type="dxa"/>
              <w:right w:w="15" w:type="dxa"/>
            </w:tcMar>
            <w:vAlign w:val="center"/>
          </w:tcPr>
          <w:p>
            <w:pPr>
              <w:widowControl/>
              <w:tabs>
                <w:tab w:val="left" w:pos="2475"/>
              </w:tabs>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注：本表反映部门本年度一般公共预算财政拨款支出情况。</w:t>
            </w:r>
          </w:p>
        </w:tc>
      </w:tr>
    </w:tbl>
    <w:p>
      <w:r>
        <w:br w:type="page"/>
      </w:r>
    </w:p>
    <w:tbl>
      <w:tblPr>
        <w:tblStyle w:val="7"/>
        <w:tblW w:w="10289" w:type="dxa"/>
        <w:jc w:val="center"/>
        <w:tblInd w:w="0" w:type="dxa"/>
        <w:tblLayout w:type="fixed"/>
        <w:tblCellMar>
          <w:top w:w="0" w:type="dxa"/>
          <w:left w:w="0" w:type="dxa"/>
          <w:bottom w:w="0" w:type="dxa"/>
          <w:right w:w="0" w:type="dxa"/>
        </w:tblCellMar>
      </w:tblPr>
      <w:tblGrid>
        <w:gridCol w:w="896"/>
        <w:gridCol w:w="1932"/>
        <w:gridCol w:w="783"/>
        <w:gridCol w:w="655"/>
        <w:gridCol w:w="1863"/>
        <w:gridCol w:w="720"/>
        <w:gridCol w:w="690"/>
        <w:gridCol w:w="1875"/>
        <w:gridCol w:w="875"/>
      </w:tblGrid>
      <w:tr>
        <w:tblPrEx>
          <w:tblLayout w:type="fixed"/>
          <w:tblCellMar>
            <w:top w:w="0" w:type="dxa"/>
            <w:left w:w="0" w:type="dxa"/>
            <w:bottom w:w="0" w:type="dxa"/>
            <w:right w:w="0" w:type="dxa"/>
          </w:tblCellMar>
        </w:tblPrEx>
        <w:trPr>
          <w:trHeight w:val="662" w:hRule="atLeast"/>
          <w:jc w:val="center"/>
        </w:trPr>
        <w:tc>
          <w:tcPr>
            <w:tcW w:w="10289"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5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5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2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67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8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594.98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22.23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148.53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11.53</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国内债务付息</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91.97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印刷费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国外债务付息</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102.86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咨询费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手续费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房屋建筑物购建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36.84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办公设备购置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36.29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专用设备购置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7.28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邮电费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基础设施建设</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20.32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取暖费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大型修缮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物业管理费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差旅费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物资储备</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因公出国（境）费用</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土地补偿</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维修（护）费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安置补助</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149.23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租赁费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地上附着物和青苗补偿</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2.21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拆迁补偿</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其他交通工具购置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专用材料费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文物和陈列品购置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被装购置费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无形资产购置</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2.21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专用燃料费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其他资本性支出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5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劳务费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委托业务费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赠与</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工会经费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国家赔偿费用支出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福利费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lang w:bidi="ar"/>
              </w:rPr>
              <w:t>对民间非营利组织和群众性自治组织补贴</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2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公务用车运行维护费</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0.18</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6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其他交通费用</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10.52</w:t>
            </w: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8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税金及附加费用</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72" w:hRule="atLeast"/>
          <w:jc w:val="center"/>
        </w:trPr>
        <w:tc>
          <w:tcPr>
            <w:tcW w:w="8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86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72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p>
        </w:tc>
        <w:tc>
          <w:tcPr>
            <w:tcW w:w="69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7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87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597.18</w:t>
            </w:r>
          </w:p>
        </w:tc>
        <w:tc>
          <w:tcPr>
            <w:tcW w:w="5803"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8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2"/>
                <w:lang w:bidi="ar"/>
              </w:rPr>
              <w:t>22.23</w:t>
            </w:r>
          </w:p>
        </w:tc>
      </w:tr>
      <w:tr>
        <w:tblPrEx>
          <w:tblLayout w:type="fixed"/>
          <w:tblCellMar>
            <w:top w:w="0" w:type="dxa"/>
            <w:left w:w="0" w:type="dxa"/>
            <w:bottom w:w="0" w:type="dxa"/>
            <w:right w:w="0" w:type="dxa"/>
          </w:tblCellMar>
        </w:tblPrEx>
        <w:trPr>
          <w:trHeight w:val="282" w:hRule="atLeast"/>
          <w:jc w:val="center"/>
        </w:trPr>
        <w:tc>
          <w:tcPr>
            <w:tcW w:w="10289"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tabs>
                <w:tab w:val="left" w:pos="2859"/>
              </w:tabs>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注：本表反映部门本年度一般公共预算财政拨款基本支出明细情况。</w:t>
            </w:r>
          </w:p>
        </w:tc>
      </w:tr>
    </w:tbl>
    <w:p>
      <w:r>
        <w:rPr>
          <w:rFonts w:hint="eastAsia"/>
        </w:rPr>
        <w:t xml:space="preserve">  </w:t>
      </w:r>
    </w:p>
    <w:tbl>
      <w:tblPr>
        <w:tblStyle w:val="7"/>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9.99</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0.18</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10.17</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9.99</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0.18</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916" w:type="dxa"/>
        <w:jc w:val="center"/>
        <w:tblInd w:w="0" w:type="dxa"/>
        <w:tblLayout w:type="fixed"/>
        <w:tblCellMar>
          <w:top w:w="0" w:type="dxa"/>
          <w:left w:w="0" w:type="dxa"/>
          <w:bottom w:w="0" w:type="dxa"/>
          <w:right w:w="0" w:type="dxa"/>
        </w:tblCellMar>
      </w:tblPr>
      <w:tblGrid>
        <w:gridCol w:w="1020"/>
        <w:gridCol w:w="58"/>
        <w:gridCol w:w="58"/>
        <w:gridCol w:w="1534"/>
        <w:gridCol w:w="1207"/>
        <w:gridCol w:w="1207"/>
        <w:gridCol w:w="1207"/>
        <w:gridCol w:w="1207"/>
        <w:gridCol w:w="1207"/>
        <w:gridCol w:w="1211"/>
      </w:tblGrid>
      <w:tr>
        <w:tblPrEx>
          <w:tblLayout w:type="fixed"/>
          <w:tblCellMar>
            <w:top w:w="0" w:type="dxa"/>
            <w:left w:w="0" w:type="dxa"/>
            <w:bottom w:w="0" w:type="dxa"/>
            <w:right w:w="0" w:type="dxa"/>
          </w:tblCellMar>
        </w:tblPrEx>
        <w:trPr>
          <w:trHeight w:val="780" w:hRule="atLeast"/>
          <w:jc w:val="center"/>
        </w:trPr>
        <w:tc>
          <w:tcPr>
            <w:tcW w:w="9916"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1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1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2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2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62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2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53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2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2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7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2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267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390.59</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520.18</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722.77</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722.77</w:t>
            </w:r>
          </w:p>
        </w:tc>
        <w:tc>
          <w:tcPr>
            <w:tcW w:w="12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188.00</w:t>
            </w: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w:t>
            </w:r>
          </w:p>
        </w:tc>
        <w:tc>
          <w:tcPr>
            <w:tcW w:w="1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文化旅游体育与传媒支出</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13.00</w:t>
            </w:r>
          </w:p>
        </w:tc>
        <w:tc>
          <w:tcPr>
            <w:tcW w:w="12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20707</w:t>
            </w:r>
          </w:p>
        </w:tc>
        <w:tc>
          <w:tcPr>
            <w:tcW w:w="1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国家电影事业发展专项资金安排的支出</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2070701</w:t>
            </w:r>
          </w:p>
        </w:tc>
        <w:tc>
          <w:tcPr>
            <w:tcW w:w="1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资助国产影片放映</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3.00</w:t>
            </w:r>
          </w:p>
        </w:tc>
        <w:tc>
          <w:tcPr>
            <w:tcW w:w="12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20709</w:t>
            </w:r>
          </w:p>
        </w:tc>
        <w:tc>
          <w:tcPr>
            <w:tcW w:w="1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旅游发展基金支出</w:t>
            </w:r>
          </w:p>
        </w:tc>
        <w:tc>
          <w:tcPr>
            <w:tcW w:w="12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1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2070904</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地方旅游开发项目补助</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10.00</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城乡社区支出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277.57</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21208</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国有土地使用权出让收入及对应专项债务收入安排的支出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277.57</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2120804</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农村基础设施建设支出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277.57</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249.18</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526.75</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188.00</w:t>
            </w: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22960</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彩票公益金安排的支出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188.00</w:t>
            </w: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2296003</w:t>
            </w: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用于体育事业的彩票公益金支出</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103.02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268.00</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183.02</w:t>
            </w: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188.00</w:t>
            </w: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t>注：本表反映部门本年度政府性基金预算财政拨款收入、支出及结转和结余情况。</w:t>
      </w:r>
    </w:p>
    <w:p>
      <w:r>
        <w:br w:type="page"/>
      </w:r>
    </w:p>
    <w:tbl>
      <w:tblPr>
        <w:tblStyle w:val="7"/>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spacing w:line="0" w:lineRule="atLeast"/>
      </w:pPr>
      <w:r>
        <w:t>注：本表反映部门本年度国有资本经营预算财政拨款支出情况。本部门本年度无相关支出情况，按要求以空表列示。</w:t>
      </w:r>
      <w:r>
        <w:br w:type="page"/>
      </w:r>
    </w:p>
    <w:p>
      <w:r>
        <mc:AlternateContent>
          <mc:Choice Requires="wps">
            <w:drawing>
              <wp:anchor distT="0" distB="0" distL="114300" distR="114300" simplePos="0" relativeHeight="43718656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43718656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eiryo UI"/>
    <w:panose1 w:val="000000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9950409"/>
    <w:multiLevelType w:val="singleLevel"/>
    <w:tmpl w:val="59950409"/>
    <w:lvl w:ilvl="0" w:tentative="0">
      <w:start w:val="1"/>
      <w:numFmt w:val="decimal"/>
      <w:suff w:val="space"/>
      <w:lvlText w:val="%1."/>
      <w:lvlJc w:val="left"/>
    </w:lvl>
  </w:abstractNum>
  <w:abstractNum w:abstractNumId="2">
    <w:nsid w:val="5F222FFA"/>
    <w:multiLevelType w:val="singleLevel"/>
    <w:tmpl w:val="5F222FFA"/>
    <w:lvl w:ilvl="0" w:tentative="0">
      <w:start w:val="1"/>
      <w:numFmt w:val="decimal"/>
      <w:suff w:val="nothing"/>
      <w:lvlText w:val="（%1）"/>
      <w:lvlJc w:val="left"/>
    </w:lvl>
  </w:abstractNum>
  <w:abstractNum w:abstractNumId="3">
    <w:nsid w:val="78C1413D"/>
    <w:multiLevelType w:val="singleLevel"/>
    <w:tmpl w:val="78C1413D"/>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146E8"/>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52C3E"/>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77843"/>
    <w:rsid w:val="00883D92"/>
    <w:rsid w:val="008A5362"/>
    <w:rsid w:val="008F21F1"/>
    <w:rsid w:val="008F221B"/>
    <w:rsid w:val="008F5A2D"/>
    <w:rsid w:val="00921602"/>
    <w:rsid w:val="00957EA1"/>
    <w:rsid w:val="00966E5B"/>
    <w:rsid w:val="00997BB8"/>
    <w:rsid w:val="009B4EF0"/>
    <w:rsid w:val="009D271F"/>
    <w:rsid w:val="00A929C2"/>
    <w:rsid w:val="00AD097F"/>
    <w:rsid w:val="00B844F4"/>
    <w:rsid w:val="00BA06A1"/>
    <w:rsid w:val="00BA770A"/>
    <w:rsid w:val="00C054DE"/>
    <w:rsid w:val="00C362E9"/>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1161A0"/>
    <w:rsid w:val="015173CF"/>
    <w:rsid w:val="017047A6"/>
    <w:rsid w:val="01732BAC"/>
    <w:rsid w:val="01B739E6"/>
    <w:rsid w:val="021665F4"/>
    <w:rsid w:val="02AC50E4"/>
    <w:rsid w:val="02D7090A"/>
    <w:rsid w:val="03042880"/>
    <w:rsid w:val="03D27FF9"/>
    <w:rsid w:val="045C7D14"/>
    <w:rsid w:val="0524365E"/>
    <w:rsid w:val="05830FB9"/>
    <w:rsid w:val="05BB7D33"/>
    <w:rsid w:val="05C36176"/>
    <w:rsid w:val="099878E0"/>
    <w:rsid w:val="09AA2109"/>
    <w:rsid w:val="0CF67F62"/>
    <w:rsid w:val="0E295B9E"/>
    <w:rsid w:val="0FA21F91"/>
    <w:rsid w:val="0FE14E08"/>
    <w:rsid w:val="10F508CC"/>
    <w:rsid w:val="11354EAF"/>
    <w:rsid w:val="116C749A"/>
    <w:rsid w:val="12307542"/>
    <w:rsid w:val="12D67A08"/>
    <w:rsid w:val="131933D3"/>
    <w:rsid w:val="164C4AD6"/>
    <w:rsid w:val="166A5794"/>
    <w:rsid w:val="167B56E0"/>
    <w:rsid w:val="16961E3D"/>
    <w:rsid w:val="176A7B67"/>
    <w:rsid w:val="17C3451E"/>
    <w:rsid w:val="183C6DB4"/>
    <w:rsid w:val="18B56C51"/>
    <w:rsid w:val="18BE6A4A"/>
    <w:rsid w:val="195F6831"/>
    <w:rsid w:val="1A3F3557"/>
    <w:rsid w:val="1B1A4604"/>
    <w:rsid w:val="1BB82ECB"/>
    <w:rsid w:val="1BEA16F8"/>
    <w:rsid w:val="1C6C58E9"/>
    <w:rsid w:val="1C7F404D"/>
    <w:rsid w:val="1DD62283"/>
    <w:rsid w:val="1EA40692"/>
    <w:rsid w:val="1EA92F2F"/>
    <w:rsid w:val="1EEC14AC"/>
    <w:rsid w:val="1EF64D47"/>
    <w:rsid w:val="1FD863F2"/>
    <w:rsid w:val="2034249E"/>
    <w:rsid w:val="204302E0"/>
    <w:rsid w:val="20A60DC4"/>
    <w:rsid w:val="21C176F4"/>
    <w:rsid w:val="21CA22EB"/>
    <w:rsid w:val="225C4D0B"/>
    <w:rsid w:val="23235AF0"/>
    <w:rsid w:val="24937FDA"/>
    <w:rsid w:val="249A3203"/>
    <w:rsid w:val="2580485B"/>
    <w:rsid w:val="26CA62EE"/>
    <w:rsid w:val="27004688"/>
    <w:rsid w:val="282B120A"/>
    <w:rsid w:val="28450DB3"/>
    <w:rsid w:val="2901483F"/>
    <w:rsid w:val="29884C41"/>
    <w:rsid w:val="299F7F83"/>
    <w:rsid w:val="29C51980"/>
    <w:rsid w:val="2B601188"/>
    <w:rsid w:val="2BA2528A"/>
    <w:rsid w:val="2BE71711"/>
    <w:rsid w:val="2C10183F"/>
    <w:rsid w:val="2C917C8B"/>
    <w:rsid w:val="2DB23E88"/>
    <w:rsid w:val="2E690204"/>
    <w:rsid w:val="302F6A40"/>
    <w:rsid w:val="31C2036A"/>
    <w:rsid w:val="320D02A5"/>
    <w:rsid w:val="32B94CC4"/>
    <w:rsid w:val="33DF554B"/>
    <w:rsid w:val="348E566F"/>
    <w:rsid w:val="34940D5B"/>
    <w:rsid w:val="35713A03"/>
    <w:rsid w:val="35E955AF"/>
    <w:rsid w:val="361E4FBD"/>
    <w:rsid w:val="3676606D"/>
    <w:rsid w:val="36D82DE7"/>
    <w:rsid w:val="36E51F05"/>
    <w:rsid w:val="36EA39BC"/>
    <w:rsid w:val="3723074C"/>
    <w:rsid w:val="3737375A"/>
    <w:rsid w:val="378111B5"/>
    <w:rsid w:val="37B16A94"/>
    <w:rsid w:val="37B708A6"/>
    <w:rsid w:val="37FE5051"/>
    <w:rsid w:val="38794E47"/>
    <w:rsid w:val="38986D46"/>
    <w:rsid w:val="38D5570D"/>
    <w:rsid w:val="39514E4A"/>
    <w:rsid w:val="396973DC"/>
    <w:rsid w:val="39E37B3B"/>
    <w:rsid w:val="3A196E90"/>
    <w:rsid w:val="3A226944"/>
    <w:rsid w:val="3AEE6A48"/>
    <w:rsid w:val="3B992112"/>
    <w:rsid w:val="3BBC531E"/>
    <w:rsid w:val="3C1620AA"/>
    <w:rsid w:val="3CED6238"/>
    <w:rsid w:val="3D426FB1"/>
    <w:rsid w:val="3D8F080F"/>
    <w:rsid w:val="3DA968A6"/>
    <w:rsid w:val="3FCF134A"/>
    <w:rsid w:val="407F6799"/>
    <w:rsid w:val="41CF3AFB"/>
    <w:rsid w:val="429E49AC"/>
    <w:rsid w:val="432A4940"/>
    <w:rsid w:val="43891D19"/>
    <w:rsid w:val="43D663C4"/>
    <w:rsid w:val="43D705E7"/>
    <w:rsid w:val="44731A06"/>
    <w:rsid w:val="44CE1FA4"/>
    <w:rsid w:val="44FD4FCD"/>
    <w:rsid w:val="45C609E2"/>
    <w:rsid w:val="46851F17"/>
    <w:rsid w:val="46AA456B"/>
    <w:rsid w:val="487F73ED"/>
    <w:rsid w:val="49192ACA"/>
    <w:rsid w:val="491C12A6"/>
    <w:rsid w:val="498E5453"/>
    <w:rsid w:val="49AC46CB"/>
    <w:rsid w:val="49EC74A4"/>
    <w:rsid w:val="4A347EAE"/>
    <w:rsid w:val="4B7F6C2B"/>
    <w:rsid w:val="4CAB04E5"/>
    <w:rsid w:val="4DF92597"/>
    <w:rsid w:val="50417F78"/>
    <w:rsid w:val="50764A1C"/>
    <w:rsid w:val="5215407C"/>
    <w:rsid w:val="52184D2C"/>
    <w:rsid w:val="52600405"/>
    <w:rsid w:val="529B4319"/>
    <w:rsid w:val="54773BA1"/>
    <w:rsid w:val="55B6253C"/>
    <w:rsid w:val="5672073B"/>
    <w:rsid w:val="56AB5B09"/>
    <w:rsid w:val="57773DD6"/>
    <w:rsid w:val="578B79AB"/>
    <w:rsid w:val="58206E22"/>
    <w:rsid w:val="59332F47"/>
    <w:rsid w:val="5A11766E"/>
    <w:rsid w:val="5AC33D4E"/>
    <w:rsid w:val="5B0B0142"/>
    <w:rsid w:val="5B904D60"/>
    <w:rsid w:val="5C1353F1"/>
    <w:rsid w:val="5CCD3FD5"/>
    <w:rsid w:val="5CE373C0"/>
    <w:rsid w:val="5D1E7620"/>
    <w:rsid w:val="5D2D1E8E"/>
    <w:rsid w:val="5D5A02CE"/>
    <w:rsid w:val="5DEA23E1"/>
    <w:rsid w:val="5FD075A6"/>
    <w:rsid w:val="60BB30C9"/>
    <w:rsid w:val="61481C40"/>
    <w:rsid w:val="61FA5F9D"/>
    <w:rsid w:val="620E5A63"/>
    <w:rsid w:val="62846A64"/>
    <w:rsid w:val="62B43DF8"/>
    <w:rsid w:val="634215EF"/>
    <w:rsid w:val="643338EE"/>
    <w:rsid w:val="64C77598"/>
    <w:rsid w:val="64CD6910"/>
    <w:rsid w:val="651916EF"/>
    <w:rsid w:val="65FA566E"/>
    <w:rsid w:val="66ED7983"/>
    <w:rsid w:val="6789158D"/>
    <w:rsid w:val="67D81BA4"/>
    <w:rsid w:val="69AE1CC1"/>
    <w:rsid w:val="6A2256A2"/>
    <w:rsid w:val="6AA13103"/>
    <w:rsid w:val="6AAB2196"/>
    <w:rsid w:val="6AAF1C96"/>
    <w:rsid w:val="6BAD1CF4"/>
    <w:rsid w:val="6D3178AE"/>
    <w:rsid w:val="6D754FC3"/>
    <w:rsid w:val="6DA120B5"/>
    <w:rsid w:val="6E64270F"/>
    <w:rsid w:val="6EDB1A2D"/>
    <w:rsid w:val="70612792"/>
    <w:rsid w:val="7504167B"/>
    <w:rsid w:val="75194BD1"/>
    <w:rsid w:val="75620C91"/>
    <w:rsid w:val="75681757"/>
    <w:rsid w:val="75A346A8"/>
    <w:rsid w:val="75E267D8"/>
    <w:rsid w:val="760A2EDF"/>
    <w:rsid w:val="76380D01"/>
    <w:rsid w:val="76F139EE"/>
    <w:rsid w:val="76F47C6A"/>
    <w:rsid w:val="77ED5322"/>
    <w:rsid w:val="785E449E"/>
    <w:rsid w:val="787A036F"/>
    <w:rsid w:val="788C27E6"/>
    <w:rsid w:val="79533C02"/>
    <w:rsid w:val="799B3855"/>
    <w:rsid w:val="79B9382C"/>
    <w:rsid w:val="79E57302"/>
    <w:rsid w:val="7A027C23"/>
    <w:rsid w:val="7B043B76"/>
    <w:rsid w:val="7C041A6A"/>
    <w:rsid w:val="7C0C43B7"/>
    <w:rsid w:val="7C2F18E8"/>
    <w:rsid w:val="7C831BFA"/>
    <w:rsid w:val="7D000716"/>
    <w:rsid w:val="7D0966EE"/>
    <w:rsid w:val="7E304816"/>
    <w:rsid w:val="7E327570"/>
    <w:rsid w:val="7E9F1DE1"/>
    <w:rsid w:val="7FC239E1"/>
    <w:rsid w:val="7FC9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页眉 字符"/>
    <w:basedOn w:val="9"/>
    <w:link w:val="5"/>
    <w:qFormat/>
    <w:uiPriority w:val="99"/>
    <w:rPr>
      <w:rFonts w:asciiTheme="minorHAnsi" w:hAnsiTheme="minorHAnsi" w:eastAsiaTheme="minorEastAsia"/>
      <w:sz w:val="18"/>
      <w:szCs w:val="18"/>
    </w:rPr>
  </w:style>
  <w:style w:type="character" w:customStyle="1" w:styleId="11">
    <w:name w:val="页脚 字符"/>
    <w:basedOn w:val="9"/>
    <w:link w:val="4"/>
    <w:qFormat/>
    <w:uiPriority w:val="99"/>
    <w:rPr>
      <w:sz w:val="18"/>
      <w:szCs w:val="18"/>
    </w:rPr>
  </w:style>
  <w:style w:type="paragraph" w:customStyle="1" w:styleId="12">
    <w:name w:val="列表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NormalCharacter"/>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6</c:v>
                </c:pt>
                <c:pt idx="1">
                  <c:v>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05379861868412"/>
          <c:y val="0.0735995980909319"/>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74724342663274"/>
          <c:y val="0.00753579502637528"/>
          <c:w val="0.475099963649582"/>
          <c:h val="0.984928409947249"/>
        </c:manualLayout>
      </c:layout>
      <c:pieChart>
        <c:varyColors val="1"/>
        <c:ser>
          <c:idx val="0"/>
          <c:order val="0"/>
          <c:tx>
            <c:strRef>
              <c:f>Sheet1!$B$1</c:f>
              <c:strCache>
                <c:ptCount val="1"/>
                <c:pt idx="0">
                  <c:v>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91.7</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620769832846703"/>
                  <c:y val="0.19638947550704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4.7</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3.3</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文化旅游体育与传媒支出</c:v>
                </c:pt>
                <c:pt idx="1">
                  <c:v>社会保障和就业支出</c:v>
                </c:pt>
                <c:pt idx="2">
                  <c:v>城乡社区支出</c:v>
                </c:pt>
                <c:pt idx="3">
                  <c:v>其他支出</c:v>
                </c:pt>
              </c:strCache>
            </c:strRef>
          </c:cat>
          <c:val>
            <c:numRef>
              <c:f>Sheet1!$B$2:$B$5</c:f>
              <c:numCache>
                <c:formatCode>0.0%</c:formatCode>
                <c:ptCount val="4"/>
                <c:pt idx="0">
                  <c:v>0.917</c:v>
                </c:pt>
                <c:pt idx="1">
                  <c:v>0.003</c:v>
                </c:pt>
                <c:pt idx="2">
                  <c:v>0.047</c:v>
                </c:pt>
                <c:pt idx="3">
                  <c:v>0.033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0D5A-199F-4777-80FE-27C438F04E7C}">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36</Pages>
  <Words>2359</Words>
  <Characters>13452</Characters>
  <Lines>112</Lines>
  <Paragraphs>31</Paragraphs>
  <TotalTime>67</TotalTime>
  <ScaleCrop>false</ScaleCrop>
  <LinksUpToDate>false</LinksUpToDate>
  <CharactersWithSpaces>15780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2021-04-28T02:36:00Z</cp:lastPrinted>
  <dcterms:modified xsi:type="dcterms:W3CDTF">2021-06-09T06:59:08Z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